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FD5AE" w14:textId="77777777" w:rsidR="00BD7C20" w:rsidRDefault="00BD7C20" w:rsidP="00BD7C20">
      <w:pPr>
        <w:spacing w:after="240"/>
        <w:rPr>
          <w:color w:val="6A4F90"/>
          <w:sz w:val="32"/>
          <w:szCs w:val="36"/>
        </w:rPr>
      </w:pPr>
      <w:r>
        <w:rPr>
          <w:noProof/>
          <w:color w:val="6A4F90"/>
          <w:sz w:val="32"/>
          <w:szCs w:val="36"/>
        </w:rPr>
        <w:drawing>
          <wp:inline distT="0" distB="0" distL="0" distR="0" wp14:anchorId="01E68A3D" wp14:editId="703FD41C">
            <wp:extent cx="2452908" cy="475070"/>
            <wp:effectExtent l="0" t="0" r="0"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s-employers-logo.png"/>
                    <pic:cNvPicPr/>
                  </pic:nvPicPr>
                  <pic:blipFill>
                    <a:blip r:embed="rId7">
                      <a:extLst>
                        <a:ext uri="{28A0092B-C50C-407E-A947-70E740481C1C}">
                          <a14:useLocalDpi xmlns:a14="http://schemas.microsoft.com/office/drawing/2010/main" val="0"/>
                        </a:ext>
                      </a:extLst>
                    </a:blip>
                    <a:stretch>
                      <a:fillRect/>
                    </a:stretch>
                  </pic:blipFill>
                  <pic:spPr>
                    <a:xfrm>
                      <a:off x="0" y="0"/>
                      <a:ext cx="2617024" cy="506855"/>
                    </a:xfrm>
                    <a:prstGeom prst="rect">
                      <a:avLst/>
                    </a:prstGeom>
                  </pic:spPr>
                </pic:pic>
              </a:graphicData>
            </a:graphic>
          </wp:inline>
        </w:drawing>
      </w:r>
    </w:p>
    <w:p w14:paraId="708C26CF" w14:textId="2244F87F" w:rsidR="00BD7C20" w:rsidRPr="006D4A28" w:rsidRDefault="0030005E" w:rsidP="006D4A28">
      <w:pPr>
        <w:spacing w:after="240"/>
        <w:ind w:right="-477"/>
        <w:rPr>
          <w:color w:val="6A4F90"/>
          <w:sz w:val="32"/>
          <w:szCs w:val="36"/>
        </w:rPr>
      </w:pPr>
      <w:r w:rsidRPr="006D4A28">
        <w:rPr>
          <w:color w:val="6A4F90"/>
          <w:sz w:val="32"/>
          <w:szCs w:val="36"/>
        </w:rPr>
        <w:t>MAKING YOUR RESPONSE TO THE USS METHODOLOGY AND RISK APPETITE DISCUSSION DOCUMENT</w:t>
      </w:r>
    </w:p>
    <w:p w14:paraId="4BB9B894" w14:textId="594BE819" w:rsidR="00BD7C20" w:rsidRDefault="00BD7C20" w:rsidP="00BD7C20">
      <w:pPr>
        <w:spacing w:after="240"/>
      </w:pPr>
      <w:r>
        <w:t xml:space="preserve">The USS </w:t>
      </w:r>
      <w:r w:rsidR="00CD2597">
        <w:t xml:space="preserve">trustee </w:t>
      </w:r>
      <w:r>
        <w:t>has produced a discussion document for employers to consider which sets out the</w:t>
      </w:r>
      <w:r w:rsidR="00CD2597">
        <w:t>ir</w:t>
      </w:r>
      <w:r>
        <w:t xml:space="preserve"> emerging thinking on the proposed methodology for the 2020 valuation and the key factors that will drive the outcome. </w:t>
      </w:r>
    </w:p>
    <w:p w14:paraId="2EEAD677" w14:textId="59D87816" w:rsidR="00BD7C20" w:rsidRDefault="00BD7C20" w:rsidP="00BD7C20">
      <w:pPr>
        <w:spacing w:after="240"/>
      </w:pPr>
      <w:r>
        <w:t xml:space="preserve">The document follows feedback from USS stakeholders, lessons learnt from the previous valuation, a fundamental review of </w:t>
      </w:r>
      <w:r w:rsidR="00CD2597">
        <w:t xml:space="preserve">valuation </w:t>
      </w:r>
      <w:r>
        <w:t xml:space="preserve">methodology, and the Joint Expert Panel’s (JEP) second report. </w:t>
      </w:r>
    </w:p>
    <w:p w14:paraId="02325EC3" w14:textId="77777777" w:rsidR="00BD7C20" w:rsidRDefault="00BD7C20" w:rsidP="00BD7C20">
      <w:pPr>
        <w:spacing w:after="240"/>
      </w:pPr>
      <w:r>
        <w:t xml:space="preserve">In order to encourage and focus discussions, USS has set out their emerging approach to the methodology and investment strategy. They also set out the two key factors – the covenant and risk appetites – that will have the greatest effect on outcomes, whatever the methodology. </w:t>
      </w:r>
    </w:p>
    <w:p w14:paraId="616A15E9" w14:textId="77777777" w:rsidR="00BD7C20" w:rsidRDefault="00BD7C20" w:rsidP="00BD7C20">
      <w:pPr>
        <w:spacing w:after="240"/>
      </w:pPr>
      <w:r>
        <w:t xml:space="preserve">The discussion document is specifically addressed to USS sponsoring employers. Employers’ views on the issues the document covers will influence the approach USS subsequently decide to take and will help them to make clear, understandable and evidence-based decisions. </w:t>
      </w:r>
    </w:p>
    <w:p w14:paraId="3DD778E5" w14:textId="023F6CA7" w:rsidR="00BD7C20" w:rsidRDefault="00BD7C20" w:rsidP="00BD7C20">
      <w:pPr>
        <w:spacing w:after="240"/>
      </w:pPr>
      <w:r>
        <w:t xml:space="preserve">USS have not made any decisions at this early stage in the </w:t>
      </w:r>
      <w:proofErr w:type="gramStart"/>
      <w:r>
        <w:t>process,</w:t>
      </w:r>
      <w:r w:rsidR="00C4248F">
        <w:t xml:space="preserve"> </w:t>
      </w:r>
      <w:r>
        <w:t>but</w:t>
      </w:r>
      <w:proofErr w:type="gramEnd"/>
      <w:r>
        <w:t xml:space="preserve"> are seeking to encourage discussion and to build understanding and evidence to inform their approach. Note that this discussion document is separate from, and in advance of, the formal consultation USS is required by law to undertake with UUK later in the year.</w:t>
      </w:r>
    </w:p>
    <w:p w14:paraId="0E45AD3B" w14:textId="77777777" w:rsidR="00BD7C20" w:rsidRDefault="00BD7C20" w:rsidP="00BD7C20">
      <w:pPr>
        <w:spacing w:after="240"/>
      </w:pPr>
      <w:r>
        <w:t>The questions in this form are as follows:</w:t>
      </w:r>
    </w:p>
    <w:p w14:paraId="22136137" w14:textId="6083C818" w:rsidR="00BD7C20" w:rsidRDefault="00BD7C20" w:rsidP="00BD7C20">
      <w:pPr>
        <w:pStyle w:val="ListParagraph"/>
        <w:numPr>
          <w:ilvl w:val="0"/>
          <w:numId w:val="2"/>
        </w:numPr>
        <w:spacing w:after="240"/>
      </w:pPr>
      <w:r>
        <w:t xml:space="preserve">What are your comments on the proposed new methodology? </w:t>
      </w:r>
    </w:p>
    <w:p w14:paraId="5C8537F8" w14:textId="3AA03455" w:rsidR="00BD7C20" w:rsidRDefault="00BD7C20" w:rsidP="00BD7C20">
      <w:pPr>
        <w:pStyle w:val="ListParagraph"/>
        <w:numPr>
          <w:ilvl w:val="0"/>
          <w:numId w:val="2"/>
        </w:numPr>
        <w:spacing w:after="240"/>
      </w:pPr>
      <w:r>
        <w:t xml:space="preserve">Do you support the measures to ensure the covenant is “Strong” agreed as part of the 2018 valuation on: </w:t>
      </w:r>
      <w:proofErr w:type="spellStart"/>
      <w:r>
        <w:t>i</w:t>
      </w:r>
      <w:proofErr w:type="spellEnd"/>
      <w:r>
        <w:t>) the permanent rule change on employers exiting the Scheme to underpin a 30-year covenant horizon; ii) debt monitoring arrangements; and iii) pari passu security on new secured debt?</w:t>
      </w:r>
    </w:p>
    <w:p w14:paraId="3C617106" w14:textId="2F048522" w:rsidR="00274162" w:rsidRDefault="00BD7C20" w:rsidP="00BD7C20">
      <w:pPr>
        <w:pStyle w:val="ListParagraph"/>
        <w:numPr>
          <w:ilvl w:val="0"/>
          <w:numId w:val="2"/>
        </w:numPr>
        <w:spacing w:after="240"/>
      </w:pPr>
      <w:r>
        <w:t xml:space="preserve">Do you wish to consider additional tangible covenant support measures to further strengthen the covenant and potentially support additional risk (above that outlined in the scenarios presented in the table above)? </w:t>
      </w:r>
    </w:p>
    <w:p w14:paraId="7D888CB8" w14:textId="5B74448A" w:rsidR="00274162" w:rsidRDefault="00BD7C20" w:rsidP="00BD7C20">
      <w:pPr>
        <w:pStyle w:val="ListParagraph"/>
        <w:numPr>
          <w:ilvl w:val="0"/>
          <w:numId w:val="2"/>
        </w:numPr>
        <w:spacing w:after="240"/>
      </w:pPr>
      <w:r>
        <w:t xml:space="preserve">Do you have initial views on whether you would be comfortable with an investment strategy that took a moderately larger amount of risk in the long term? </w:t>
      </w:r>
    </w:p>
    <w:p w14:paraId="7DC11FBF" w14:textId="16763E26" w:rsidR="00BD7C20" w:rsidRDefault="00BD7C20" w:rsidP="00BD7C20">
      <w:pPr>
        <w:pStyle w:val="ListParagraph"/>
        <w:numPr>
          <w:ilvl w:val="0"/>
          <w:numId w:val="2"/>
        </w:numPr>
        <w:spacing w:after="240"/>
      </w:pPr>
      <w:r>
        <w:t xml:space="preserve">Based on the example approach to managing risk, as set out in this document, what is your risk appetite? In other words, do you have initial views as to how much of your risk capacity you are comfortable for us to rely on in supporting the Scheme, in the knowledge that there are adverse scenarios in which this may be called? (You may wish to express this as a contribution of x% of salary, or a monetary amount, paid over y years.) </w:t>
      </w:r>
    </w:p>
    <w:p w14:paraId="35B20C95" w14:textId="77777777" w:rsidR="00F34BC7" w:rsidRPr="00C4248F" w:rsidRDefault="00F34BC7" w:rsidP="00C4248F">
      <w:pPr>
        <w:pStyle w:val="ListParagraph"/>
        <w:ind w:left="360"/>
        <w:rPr>
          <w:rFonts w:ascii="Calibri" w:hAnsi="Calibri"/>
          <w:szCs w:val="22"/>
        </w:rPr>
      </w:pPr>
    </w:p>
    <w:p w14:paraId="3ECD6696" w14:textId="76CC30E3" w:rsidR="00F34BC7" w:rsidRDefault="00F34BC7" w:rsidP="00C4248F">
      <w:pPr>
        <w:pStyle w:val="ListParagraph"/>
        <w:ind w:left="0"/>
        <w:rPr>
          <w:rFonts w:ascii="Calibri" w:hAnsi="Calibri"/>
          <w:szCs w:val="22"/>
        </w:rPr>
      </w:pPr>
      <w:r w:rsidRPr="00C4248F">
        <w:rPr>
          <w:rFonts w:cs="Arial"/>
          <w:szCs w:val="22"/>
        </w:rPr>
        <w:t xml:space="preserve">In addition to questions </w:t>
      </w:r>
      <w:r w:rsidR="00714DDF">
        <w:rPr>
          <w:rFonts w:cs="Arial"/>
          <w:szCs w:val="22"/>
        </w:rPr>
        <w:t xml:space="preserve">1-5 </w:t>
      </w:r>
      <w:r w:rsidRPr="00C4248F">
        <w:rPr>
          <w:rFonts w:cs="Arial"/>
          <w:szCs w:val="22"/>
        </w:rPr>
        <w:t xml:space="preserve">raised by the USS trustee in </w:t>
      </w:r>
      <w:r w:rsidR="00714DDF">
        <w:rPr>
          <w:rFonts w:cs="Arial"/>
          <w:szCs w:val="22"/>
        </w:rPr>
        <w:t>the</w:t>
      </w:r>
      <w:r w:rsidRPr="00C4248F">
        <w:rPr>
          <w:rFonts w:cs="Arial"/>
          <w:szCs w:val="22"/>
        </w:rPr>
        <w:t xml:space="preserve"> discussion document, UUK would welcome feedback from employers on the additional views and analysis expressed in the</w:t>
      </w:r>
      <w:r w:rsidR="00714DDF">
        <w:rPr>
          <w:rFonts w:cs="Arial"/>
          <w:szCs w:val="22"/>
        </w:rPr>
        <w:t xml:space="preserve"> accompanying </w:t>
      </w:r>
      <w:r w:rsidRPr="00C4248F">
        <w:rPr>
          <w:rFonts w:cs="Arial"/>
          <w:szCs w:val="22"/>
        </w:rPr>
        <w:t>paper.</w:t>
      </w:r>
    </w:p>
    <w:p w14:paraId="41F49452" w14:textId="77777777" w:rsidR="00F34BC7" w:rsidRPr="00C4248F" w:rsidRDefault="00F34BC7" w:rsidP="00C4248F">
      <w:pPr>
        <w:pStyle w:val="ListParagraph"/>
        <w:ind w:left="360"/>
        <w:rPr>
          <w:rFonts w:ascii="Calibri" w:hAnsi="Calibri"/>
          <w:szCs w:val="22"/>
        </w:rPr>
      </w:pPr>
    </w:p>
    <w:p w14:paraId="36E5FA2A" w14:textId="0A99869A" w:rsidR="006D4A28" w:rsidRPr="006D4A28" w:rsidRDefault="006D4A28" w:rsidP="006D4A28">
      <w:pPr>
        <w:pStyle w:val="ListParagraph"/>
        <w:numPr>
          <w:ilvl w:val="0"/>
          <w:numId w:val="2"/>
        </w:numPr>
        <w:rPr>
          <w:rFonts w:ascii="Calibri" w:hAnsi="Calibri"/>
          <w:szCs w:val="22"/>
        </w:rPr>
      </w:pPr>
      <w:r>
        <w:t>Do you agree that it would be helpful if an outline proposition is developed which shows how the various components – including risk appetite, investment strategy, covenant measures, contribution rates and volatility, and benefit design – might operate together under a particular strategy (or strategies)? (Page 2 of the UUK paper)</w:t>
      </w:r>
    </w:p>
    <w:p w14:paraId="55D8C577" w14:textId="5CB80A87" w:rsidR="006D4A28" w:rsidRDefault="006D4A28" w:rsidP="006D4A28">
      <w:pPr>
        <w:pStyle w:val="ListParagraph"/>
        <w:numPr>
          <w:ilvl w:val="0"/>
          <w:numId w:val="2"/>
        </w:numPr>
      </w:pPr>
      <w:r>
        <w:t>Any other comments?</w:t>
      </w:r>
    </w:p>
    <w:p w14:paraId="1B78B529" w14:textId="77777777" w:rsidR="006D4A28" w:rsidRDefault="006D4A28" w:rsidP="006D4A28">
      <w:pPr>
        <w:pStyle w:val="ListParagraph"/>
      </w:pPr>
    </w:p>
    <w:p w14:paraId="1A5D55A4" w14:textId="5CB17735" w:rsidR="00BD7C20" w:rsidRDefault="00BD7C20" w:rsidP="00C4248F">
      <w:pPr>
        <w:spacing w:after="240"/>
      </w:pPr>
      <w:r w:rsidRPr="00085F81">
        <w:rPr>
          <w:b/>
          <w:bCs/>
        </w:rPr>
        <w:t xml:space="preserve">Please send the response from your institution to </w:t>
      </w:r>
      <w:hyperlink r:id="rId8" w:history="1">
        <w:r w:rsidRPr="00085F81">
          <w:rPr>
            <w:rStyle w:val="Hyperlink"/>
            <w:b/>
            <w:bCs/>
            <w:color w:val="6A4F90"/>
          </w:rPr>
          <w:t>pensions@universitiesuk.ac.uk</w:t>
        </w:r>
      </w:hyperlink>
      <w:r>
        <w:rPr>
          <w:b/>
          <w:bCs/>
        </w:rPr>
        <w:t xml:space="preserve"> copying in </w:t>
      </w:r>
      <w:hyperlink r:id="rId9" w:history="1">
        <w:r w:rsidR="00C06535" w:rsidRPr="00C06535">
          <w:rPr>
            <w:rStyle w:val="Hyperlink"/>
            <w:b/>
            <w:bCs/>
            <w:color w:val="685696"/>
          </w:rPr>
          <w:t>valuation@uss.co.uk</w:t>
        </w:r>
      </w:hyperlink>
      <w:r>
        <w:rPr>
          <w:b/>
          <w:bCs/>
        </w:rPr>
        <w:t xml:space="preserve"> </w:t>
      </w:r>
      <w:r w:rsidR="00B44331">
        <w:rPr>
          <w:b/>
          <w:bCs/>
        </w:rPr>
        <w:t xml:space="preserve">as appropriate, </w:t>
      </w:r>
      <w:r w:rsidRPr="00085F81">
        <w:rPr>
          <w:b/>
          <w:bCs/>
        </w:rPr>
        <w:t xml:space="preserve">by </w:t>
      </w:r>
      <w:r w:rsidRPr="00702018">
        <w:rPr>
          <w:b/>
          <w:bCs/>
        </w:rPr>
        <w:t>5pm on 17 April 2020</w:t>
      </w:r>
    </w:p>
    <w:p w14:paraId="09AB2729" w14:textId="58E860AD" w:rsidR="00BD7C20" w:rsidRDefault="00274162" w:rsidP="00274162">
      <w:pPr>
        <w:pStyle w:val="ListParagraph"/>
        <w:numPr>
          <w:ilvl w:val="0"/>
          <w:numId w:val="1"/>
        </w:numPr>
        <w:spacing w:after="240"/>
      </w:pPr>
      <w:r>
        <w:lastRenderedPageBreak/>
        <w:t>What are your comments on the proposed new methodology? (See Section 2</w:t>
      </w:r>
      <w:r w:rsidR="00714DDF">
        <w:t xml:space="preserve"> of the USS discussion document</w:t>
      </w:r>
      <w: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22"/>
      </w:tblGrid>
      <w:tr w:rsidR="00BD7C20" w14:paraId="46EE5F2E" w14:textId="77777777" w:rsidTr="007E3AD5">
        <w:trPr>
          <w:trHeight w:val="12099"/>
        </w:trPr>
        <w:tc>
          <w:tcPr>
            <w:tcW w:w="8522" w:type="dxa"/>
            <w:shd w:val="clear" w:color="auto" w:fill="F2F2F2" w:themeFill="background1" w:themeFillShade="F2"/>
          </w:tcPr>
          <w:p w14:paraId="0609F450" w14:textId="77777777" w:rsidR="00BD7C20" w:rsidRDefault="00BD7C20" w:rsidP="007E3AD5">
            <w:pPr>
              <w:spacing w:after="240"/>
            </w:pPr>
          </w:p>
        </w:tc>
      </w:tr>
    </w:tbl>
    <w:p w14:paraId="41C63171" w14:textId="77777777" w:rsidR="00BD7C20" w:rsidRDefault="00BD7C20" w:rsidP="00BD7C20">
      <w:r>
        <w:br w:type="page"/>
      </w:r>
    </w:p>
    <w:p w14:paraId="6B638BB2" w14:textId="77777777" w:rsidR="00BD7C20" w:rsidRDefault="00BD7C20" w:rsidP="00BD7C20"/>
    <w:p w14:paraId="762E526E" w14:textId="1D87FAA0" w:rsidR="00274162" w:rsidRDefault="00274162" w:rsidP="00274162">
      <w:pPr>
        <w:pStyle w:val="ListParagraph"/>
        <w:numPr>
          <w:ilvl w:val="0"/>
          <w:numId w:val="1"/>
        </w:numPr>
        <w:spacing w:after="240"/>
      </w:pPr>
      <w:r>
        <w:t xml:space="preserve">Do you support the measures to ensure the covenant is “Strong” agreed as part of the 2018 valuation on: </w:t>
      </w:r>
      <w:proofErr w:type="spellStart"/>
      <w:r>
        <w:t>i</w:t>
      </w:r>
      <w:proofErr w:type="spellEnd"/>
      <w:r>
        <w:t>) the permanent rule change on employers exiting the Scheme to underpin a 30-year covenant horizon; ii) debt monitoring arrangements; and iii) pari passu security on new secured debt? (See Section 3</w:t>
      </w:r>
      <w:r w:rsidR="00714DDF">
        <w:t xml:space="preserve"> of the USS discussion document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22"/>
      </w:tblGrid>
      <w:tr w:rsidR="00BD7C20" w14:paraId="36A06D38" w14:textId="77777777" w:rsidTr="007E3AD5">
        <w:trPr>
          <w:trHeight w:val="12099"/>
        </w:trPr>
        <w:tc>
          <w:tcPr>
            <w:tcW w:w="8522" w:type="dxa"/>
            <w:shd w:val="clear" w:color="auto" w:fill="F2F2F2" w:themeFill="background1" w:themeFillShade="F2"/>
          </w:tcPr>
          <w:p w14:paraId="60624FE8" w14:textId="77777777" w:rsidR="00BD7C20" w:rsidRDefault="00BD7C20" w:rsidP="007E3AD5">
            <w:pPr>
              <w:spacing w:after="240"/>
            </w:pPr>
          </w:p>
        </w:tc>
      </w:tr>
    </w:tbl>
    <w:p w14:paraId="438AD370" w14:textId="77777777" w:rsidR="00BD7C20" w:rsidRDefault="00BD7C20" w:rsidP="00BD7C20">
      <w:r>
        <w:br w:type="page"/>
      </w:r>
    </w:p>
    <w:p w14:paraId="3FDE3E36" w14:textId="04A6921D" w:rsidR="00BD7C20" w:rsidRDefault="00274162" w:rsidP="00274162">
      <w:pPr>
        <w:pStyle w:val="ListParagraph"/>
        <w:numPr>
          <w:ilvl w:val="0"/>
          <w:numId w:val="1"/>
        </w:numPr>
        <w:spacing w:after="240"/>
      </w:pPr>
      <w:r>
        <w:lastRenderedPageBreak/>
        <w:t>Do you wish to consider additional tangible covenant support measures to further strengthen the covenant and potentially support additional risk (above that outlined in the scenarios presented in the table above)? (See Section 3 and Appendix C</w:t>
      </w:r>
      <w:r w:rsidR="00714DDF">
        <w:t xml:space="preserve"> of the USS discussion document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22"/>
      </w:tblGrid>
      <w:tr w:rsidR="00BD7C20" w14:paraId="0AD57D62" w14:textId="77777777" w:rsidTr="007E3AD5">
        <w:trPr>
          <w:trHeight w:val="12567"/>
        </w:trPr>
        <w:tc>
          <w:tcPr>
            <w:tcW w:w="8522" w:type="dxa"/>
            <w:shd w:val="clear" w:color="auto" w:fill="F2F2F2" w:themeFill="background1" w:themeFillShade="F2"/>
          </w:tcPr>
          <w:p w14:paraId="4C05853E" w14:textId="77777777" w:rsidR="00BD7C20" w:rsidRDefault="00BD7C20" w:rsidP="007E3AD5">
            <w:pPr>
              <w:spacing w:after="240"/>
            </w:pPr>
          </w:p>
        </w:tc>
      </w:tr>
    </w:tbl>
    <w:p w14:paraId="3763E635" w14:textId="054008AD" w:rsidR="00274162" w:rsidRDefault="00BD7C20" w:rsidP="00274162">
      <w:pPr>
        <w:pStyle w:val="ListParagraph"/>
        <w:numPr>
          <w:ilvl w:val="0"/>
          <w:numId w:val="1"/>
        </w:numPr>
        <w:spacing w:after="240"/>
      </w:pPr>
      <w:r>
        <w:br w:type="page"/>
      </w:r>
      <w:r w:rsidR="00274162">
        <w:lastRenderedPageBreak/>
        <w:t>Do you have initial views on whether you would be comfortable with an investment strategy that took a moderately larger amount of risk in the long term (See Section 5</w:t>
      </w:r>
      <w:r w:rsidR="00714DDF">
        <w:t xml:space="preserve"> of the USS discussion document</w:t>
      </w:r>
      <w:r w:rsidR="00274162">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22"/>
      </w:tblGrid>
      <w:tr w:rsidR="00274162" w14:paraId="53D72243" w14:textId="77777777" w:rsidTr="007E3AD5">
        <w:trPr>
          <w:trHeight w:val="12567"/>
        </w:trPr>
        <w:tc>
          <w:tcPr>
            <w:tcW w:w="8522" w:type="dxa"/>
            <w:shd w:val="clear" w:color="auto" w:fill="F2F2F2" w:themeFill="background1" w:themeFillShade="F2"/>
          </w:tcPr>
          <w:p w14:paraId="1AD0B5B2" w14:textId="77777777" w:rsidR="00274162" w:rsidRDefault="00274162" w:rsidP="007E3AD5">
            <w:pPr>
              <w:spacing w:after="240"/>
            </w:pPr>
          </w:p>
        </w:tc>
      </w:tr>
    </w:tbl>
    <w:p w14:paraId="3B37D49F" w14:textId="400D73F2" w:rsidR="00274162" w:rsidRDefault="00274162"/>
    <w:p w14:paraId="5F25E74D" w14:textId="77777777" w:rsidR="00BD7C20" w:rsidRDefault="00BD7C20" w:rsidP="00BD7C20"/>
    <w:p w14:paraId="7F4D2596" w14:textId="049999C9" w:rsidR="00274162" w:rsidRDefault="00274162" w:rsidP="00274162">
      <w:pPr>
        <w:pStyle w:val="ListParagraph"/>
        <w:numPr>
          <w:ilvl w:val="0"/>
          <w:numId w:val="1"/>
        </w:numPr>
        <w:spacing w:after="240"/>
      </w:pPr>
      <w:r>
        <w:lastRenderedPageBreak/>
        <w:t>Based on the example approach to managing risk, as set out in this document, what is your risk appetite? In other words, do you have initial views as to how much of your risk capacity you are comfortable for us to rely on in supporting the Scheme, in the knowledge that there are adverse scenarios in which this may be called? (You may wish to express this as a contribution of x% of salary, or a monetary amount, paid over y years.) (See Section 4</w:t>
      </w:r>
      <w:r w:rsidR="00714DDF">
        <w:t xml:space="preserve"> of the USS discussion document</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22"/>
      </w:tblGrid>
      <w:tr w:rsidR="00274162" w14:paraId="2FDC038C" w14:textId="77777777" w:rsidTr="00274162">
        <w:trPr>
          <w:trHeight w:val="11703"/>
        </w:trPr>
        <w:tc>
          <w:tcPr>
            <w:tcW w:w="8522" w:type="dxa"/>
            <w:shd w:val="clear" w:color="auto" w:fill="F2F2F2" w:themeFill="background1" w:themeFillShade="F2"/>
          </w:tcPr>
          <w:p w14:paraId="49E34BB4" w14:textId="77777777" w:rsidR="00274162" w:rsidRDefault="00274162" w:rsidP="007E3AD5">
            <w:pPr>
              <w:spacing w:after="240"/>
            </w:pPr>
            <w:bookmarkStart w:id="0" w:name="_Hlk35270362"/>
          </w:p>
        </w:tc>
      </w:tr>
      <w:bookmarkEnd w:id="0"/>
    </w:tbl>
    <w:p w14:paraId="363059A1" w14:textId="77777777" w:rsidR="00274162" w:rsidRDefault="00274162" w:rsidP="00BD7C20"/>
    <w:p w14:paraId="1810098C" w14:textId="77777777" w:rsidR="00274162" w:rsidRDefault="00274162">
      <w:r>
        <w:br w:type="page"/>
      </w:r>
    </w:p>
    <w:p w14:paraId="4584D39F" w14:textId="7D567883" w:rsidR="00B44331" w:rsidRDefault="00B44331" w:rsidP="00B44331">
      <w:pPr>
        <w:pStyle w:val="ListParagraph"/>
        <w:numPr>
          <w:ilvl w:val="0"/>
          <w:numId w:val="1"/>
        </w:numPr>
      </w:pPr>
      <w:r>
        <w:lastRenderedPageBreak/>
        <w:t>Do you agree that it would be helpful if an outline proposition is developed which shows how the various components – including risk appetite, investment strategy, covenant measures, contribution rates and volatility, and benefit design – might operate together under a particular strategy (or strategies)? (Page 2 of the UUK paper)</w:t>
      </w:r>
    </w:p>
    <w:p w14:paraId="795A221D" w14:textId="77777777" w:rsidR="00B44331" w:rsidRDefault="00B44331" w:rsidP="00B44331">
      <w:pPr>
        <w:pStyle w:val="ListParagraph"/>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22"/>
      </w:tblGrid>
      <w:tr w:rsidR="00B44331" w14:paraId="3C936355" w14:textId="77777777" w:rsidTr="0066435C">
        <w:trPr>
          <w:trHeight w:val="11703"/>
        </w:trPr>
        <w:tc>
          <w:tcPr>
            <w:tcW w:w="8522" w:type="dxa"/>
            <w:shd w:val="clear" w:color="auto" w:fill="F2F2F2" w:themeFill="background1" w:themeFillShade="F2"/>
          </w:tcPr>
          <w:p w14:paraId="05AF9929" w14:textId="77777777" w:rsidR="00B44331" w:rsidRDefault="00B44331" w:rsidP="0066435C">
            <w:pPr>
              <w:spacing w:after="240"/>
            </w:pPr>
          </w:p>
        </w:tc>
      </w:tr>
    </w:tbl>
    <w:p w14:paraId="17F469F3" w14:textId="5757D10D" w:rsidR="00B44331" w:rsidRDefault="00B44331" w:rsidP="00B44331">
      <w:r>
        <w:br w:type="page"/>
      </w:r>
    </w:p>
    <w:p w14:paraId="0DF31085" w14:textId="11DB9B5D" w:rsidR="00B44331" w:rsidRPr="00B44331" w:rsidRDefault="00B44331" w:rsidP="00B44331">
      <w:pPr>
        <w:pStyle w:val="ListParagraph"/>
        <w:numPr>
          <w:ilvl w:val="0"/>
          <w:numId w:val="1"/>
        </w:numPr>
        <w:rPr>
          <w:rFonts w:ascii="Calibri" w:hAnsi="Calibri"/>
          <w:szCs w:val="22"/>
        </w:rPr>
      </w:pPr>
      <w:r>
        <w:lastRenderedPageBreak/>
        <w:t>Any other comments?</w:t>
      </w:r>
    </w:p>
    <w:p w14:paraId="30E3F6C2" w14:textId="409B09EE" w:rsidR="00B44331" w:rsidRDefault="00B44331" w:rsidP="00B44331">
      <w:pPr>
        <w:rPr>
          <w:rFonts w:ascii="Calibri" w:hAnsi="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22"/>
      </w:tblGrid>
      <w:tr w:rsidR="00B44331" w14:paraId="78C3196F" w14:textId="77777777" w:rsidTr="0066435C">
        <w:trPr>
          <w:trHeight w:val="11703"/>
        </w:trPr>
        <w:tc>
          <w:tcPr>
            <w:tcW w:w="8522" w:type="dxa"/>
            <w:shd w:val="clear" w:color="auto" w:fill="F2F2F2" w:themeFill="background1" w:themeFillShade="F2"/>
          </w:tcPr>
          <w:p w14:paraId="12E510D3" w14:textId="77777777" w:rsidR="00B44331" w:rsidRDefault="00B44331" w:rsidP="0066435C">
            <w:pPr>
              <w:spacing w:after="240"/>
            </w:pPr>
          </w:p>
        </w:tc>
      </w:tr>
    </w:tbl>
    <w:p w14:paraId="16D8B6AF" w14:textId="77777777" w:rsidR="00B44331" w:rsidRPr="00B44331" w:rsidRDefault="00B44331" w:rsidP="00B44331">
      <w:pPr>
        <w:rPr>
          <w:rFonts w:ascii="Calibri" w:hAnsi="Calibri"/>
          <w:szCs w:val="22"/>
        </w:rPr>
      </w:pPr>
    </w:p>
    <w:p w14:paraId="53D7EA69" w14:textId="77777777" w:rsidR="00B44331" w:rsidRPr="00B44331" w:rsidRDefault="00B44331" w:rsidP="00B44331">
      <w:pPr>
        <w:rPr>
          <w:rFonts w:ascii="Calibri" w:hAnsi="Calibri"/>
          <w:szCs w:val="22"/>
        </w:rPr>
      </w:pPr>
    </w:p>
    <w:p w14:paraId="1A85FCB3" w14:textId="696140AF" w:rsidR="00B44331" w:rsidRDefault="00B44331" w:rsidP="00B44331">
      <w:pPr>
        <w:pStyle w:val="ListParagraph"/>
        <w:numPr>
          <w:ilvl w:val="0"/>
          <w:numId w:val="1"/>
        </w:numPr>
      </w:pPr>
      <w:r>
        <w:br w:type="page"/>
      </w:r>
    </w:p>
    <w:p w14:paraId="67E49E31" w14:textId="2A04F05E" w:rsidR="00BD7C20" w:rsidRDefault="00BD7C20" w:rsidP="00BD7C20">
      <w:r>
        <w:lastRenderedPageBreak/>
        <w:t xml:space="preserve">Please </w:t>
      </w:r>
      <w:r w:rsidR="00274162">
        <w:t>c</w:t>
      </w:r>
      <w:r>
        <w:t>onfirm if your organisation’s governing body has been consulted:</w:t>
      </w:r>
    </w:p>
    <w:p w14:paraId="4895B41D" w14:textId="77777777" w:rsidR="00BD7C20" w:rsidRDefault="00BD7C20" w:rsidP="00BD7C2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22"/>
      </w:tblGrid>
      <w:tr w:rsidR="00BD7C20" w14:paraId="4C1DDF17" w14:textId="77777777" w:rsidTr="007E3AD5">
        <w:trPr>
          <w:trHeight w:val="1670"/>
        </w:trPr>
        <w:tc>
          <w:tcPr>
            <w:tcW w:w="8522" w:type="dxa"/>
            <w:shd w:val="clear" w:color="auto" w:fill="F2F2F2" w:themeFill="background1" w:themeFillShade="F2"/>
          </w:tcPr>
          <w:p w14:paraId="322B8F1B" w14:textId="77777777" w:rsidR="00BD7C20" w:rsidRDefault="00BD7C20" w:rsidP="007E3AD5"/>
        </w:tc>
      </w:tr>
    </w:tbl>
    <w:p w14:paraId="31045EDB" w14:textId="77777777" w:rsidR="00BD7C20" w:rsidRDefault="00BD7C20" w:rsidP="00BD7C20"/>
    <w:p w14:paraId="0FB7C7CF" w14:textId="77777777" w:rsidR="00BD7C20" w:rsidRPr="00487B5D" w:rsidRDefault="00BD7C20" w:rsidP="00BD7C20">
      <w:pPr>
        <w:rPr>
          <w:color w:val="6A4F90"/>
        </w:rPr>
      </w:pPr>
      <w:r w:rsidRPr="00487B5D">
        <w:rPr>
          <w:color w:val="6A4F90"/>
        </w:rPr>
        <w:t>RESPONSE SUBMITTED BY:</w:t>
      </w:r>
    </w:p>
    <w:p w14:paraId="18791848" w14:textId="77777777" w:rsidR="00BD7C20" w:rsidRDefault="00BD7C20" w:rsidP="00BD7C20"/>
    <w:p w14:paraId="78A551F4" w14:textId="77777777" w:rsidR="00BD7C20" w:rsidRDefault="00BD7C20" w:rsidP="00BD7C20">
      <w:pPr>
        <w:spacing w:after="240"/>
      </w:pPr>
      <w:r>
        <w:t>Name: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22"/>
      </w:tblGrid>
      <w:tr w:rsidR="00BD7C20" w14:paraId="09FA9DBE" w14:textId="77777777" w:rsidTr="007E3AD5">
        <w:trPr>
          <w:trHeight w:val="354"/>
        </w:trPr>
        <w:tc>
          <w:tcPr>
            <w:tcW w:w="8522" w:type="dxa"/>
            <w:shd w:val="clear" w:color="auto" w:fill="F2F2F2" w:themeFill="background1" w:themeFillShade="F2"/>
          </w:tcPr>
          <w:p w14:paraId="7945E8A3" w14:textId="77777777" w:rsidR="00BD7C20" w:rsidRDefault="00BD7C20" w:rsidP="007E3AD5"/>
        </w:tc>
      </w:tr>
    </w:tbl>
    <w:p w14:paraId="6E82447B" w14:textId="77777777" w:rsidR="00BD7C20" w:rsidRDefault="00BD7C20" w:rsidP="00BD7C20"/>
    <w:p w14:paraId="168A274F" w14:textId="77777777" w:rsidR="00BD7C20" w:rsidRDefault="00BD7C20" w:rsidP="00BD7C20">
      <w:pPr>
        <w:spacing w:after="240"/>
      </w:pPr>
      <w:r>
        <w:t>Position: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22"/>
      </w:tblGrid>
      <w:tr w:rsidR="00BD7C20" w14:paraId="64A8AF65" w14:textId="77777777" w:rsidTr="007E3AD5">
        <w:trPr>
          <w:trHeight w:val="354"/>
        </w:trPr>
        <w:tc>
          <w:tcPr>
            <w:tcW w:w="8522" w:type="dxa"/>
            <w:shd w:val="clear" w:color="auto" w:fill="F2F2F2" w:themeFill="background1" w:themeFillShade="F2"/>
          </w:tcPr>
          <w:p w14:paraId="4D12C8A8" w14:textId="77777777" w:rsidR="00BD7C20" w:rsidRDefault="00BD7C20" w:rsidP="007E3AD5"/>
        </w:tc>
      </w:tr>
    </w:tbl>
    <w:p w14:paraId="365D91C7" w14:textId="77777777" w:rsidR="00BD7C20" w:rsidRDefault="00BD7C20" w:rsidP="00BD7C20"/>
    <w:p w14:paraId="3EAE6233" w14:textId="77777777" w:rsidR="00BD7C20" w:rsidRPr="00085F81" w:rsidRDefault="00BD7C20" w:rsidP="00BD7C20">
      <w:pPr>
        <w:spacing w:after="240"/>
        <w:rPr>
          <w:color w:val="6A4F90"/>
        </w:rPr>
      </w:pPr>
      <w:r w:rsidRPr="00085F81">
        <w:rPr>
          <w:color w:val="6A4F90"/>
        </w:rPr>
        <w:t>ON BEHALF OF:</w:t>
      </w:r>
    </w:p>
    <w:p w14:paraId="42FA0F60" w14:textId="77777777" w:rsidR="00BD7C20" w:rsidRDefault="00BD7C20" w:rsidP="00BD7C20">
      <w:pPr>
        <w:spacing w:after="240"/>
      </w:pPr>
      <w:r>
        <w:t>Institution: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8522"/>
      </w:tblGrid>
      <w:tr w:rsidR="00BD7C20" w14:paraId="634F71CC" w14:textId="77777777" w:rsidTr="007E3AD5">
        <w:trPr>
          <w:trHeight w:val="354"/>
        </w:trPr>
        <w:tc>
          <w:tcPr>
            <w:tcW w:w="8522" w:type="dxa"/>
            <w:shd w:val="clear" w:color="auto" w:fill="F2F2F2" w:themeFill="background1" w:themeFillShade="F2"/>
          </w:tcPr>
          <w:p w14:paraId="0E2CAF58" w14:textId="77777777" w:rsidR="00BD7C20" w:rsidRDefault="00BD7C20" w:rsidP="007E3AD5"/>
        </w:tc>
      </w:tr>
    </w:tbl>
    <w:p w14:paraId="79CD8D1A" w14:textId="77777777" w:rsidR="00BD7C20" w:rsidRDefault="00BD7C20" w:rsidP="00BD7C20">
      <w:pPr>
        <w:spacing w:after="240"/>
      </w:pPr>
    </w:p>
    <w:p w14:paraId="5DAB1129" w14:textId="77777777" w:rsidR="00BD7C20" w:rsidRDefault="00BD7C20" w:rsidP="00BD7C20">
      <w:pPr>
        <w:spacing w:after="240"/>
      </w:pPr>
      <w:r>
        <w:t>Please send your completed form to:</w:t>
      </w:r>
    </w:p>
    <w:p w14:paraId="06BE2F55" w14:textId="087404FF" w:rsidR="00BD7C20" w:rsidRDefault="00C4248F" w:rsidP="00BD7C20">
      <w:pPr>
        <w:spacing w:after="240"/>
      </w:pPr>
      <w:hyperlink r:id="rId10" w:history="1">
        <w:r w:rsidR="00BD7C20" w:rsidRPr="00085F81">
          <w:rPr>
            <w:rStyle w:val="Hyperlink"/>
            <w:color w:val="6A4F90"/>
          </w:rPr>
          <w:t>pensions@universtiesuk.ac.uk</w:t>
        </w:r>
      </w:hyperlink>
      <w:r w:rsidR="00BD7C20">
        <w:t xml:space="preserve"> </w:t>
      </w:r>
      <w:r w:rsidR="00274162">
        <w:t>copying in</w:t>
      </w:r>
      <w:r w:rsidR="00C06535">
        <w:t xml:space="preserve"> </w:t>
      </w:r>
      <w:hyperlink r:id="rId11" w:history="1">
        <w:r w:rsidR="00C06535" w:rsidRPr="00C06535">
          <w:rPr>
            <w:rStyle w:val="Hyperlink"/>
            <w:color w:val="685696"/>
          </w:rPr>
          <w:t>valuation@uss.co.uk</w:t>
        </w:r>
      </w:hyperlink>
      <w:r w:rsidR="00C06535">
        <w:t xml:space="preserve"> </w:t>
      </w:r>
      <w:r w:rsidR="00B44331">
        <w:t xml:space="preserve">as appropriate, by </w:t>
      </w:r>
      <w:r w:rsidR="00274162" w:rsidRPr="00702018">
        <w:rPr>
          <w:b/>
          <w:bCs/>
        </w:rPr>
        <w:t>5pm on 17 April 2020</w:t>
      </w:r>
    </w:p>
    <w:p w14:paraId="492A96C3" w14:textId="77777777" w:rsidR="00BD7C20" w:rsidRDefault="00BD7C20" w:rsidP="00BD7C20">
      <w:pPr>
        <w:spacing w:after="240"/>
      </w:pPr>
      <w:r>
        <w:t>Thank you for taking the time to respond to this consultation.</w:t>
      </w:r>
      <w:bookmarkStart w:id="1" w:name="_GoBack"/>
      <w:bookmarkEnd w:id="1"/>
    </w:p>
    <w:p w14:paraId="1E9931EF" w14:textId="77777777" w:rsidR="007119C7" w:rsidRDefault="007119C7"/>
    <w:sectPr w:rsidR="007119C7" w:rsidSect="00C4248F">
      <w:headerReference w:type="default" r:id="rId12"/>
      <w:footerReference w:type="default" r:id="rId13"/>
      <w:pgSz w:w="11906" w:h="16838"/>
      <w:pgMar w:top="1440" w:right="1558"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3E9D03" w14:textId="77777777" w:rsidR="0030005E" w:rsidRDefault="0030005E" w:rsidP="0030005E">
      <w:r>
        <w:separator/>
      </w:r>
    </w:p>
  </w:endnote>
  <w:endnote w:type="continuationSeparator" w:id="0">
    <w:p w14:paraId="10899945" w14:textId="77777777" w:rsidR="0030005E" w:rsidRDefault="0030005E" w:rsidP="0030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04F62" w14:textId="77777777" w:rsidR="00085F81" w:rsidRPr="00085F81" w:rsidRDefault="00C06535" w:rsidP="00085F81">
    <w:pPr>
      <w:pStyle w:val="Footer"/>
      <w:tabs>
        <w:tab w:val="clear" w:pos="9026"/>
        <w:tab w:val="right" w:pos="8222"/>
      </w:tabs>
    </w:pPr>
    <w:r>
      <w:rPr>
        <w:noProof/>
      </w:rPr>
      <w:drawing>
        <wp:inline distT="0" distB="0" distL="0" distR="0" wp14:anchorId="407D5EC4" wp14:editId="24A94E7C">
          <wp:extent cx="1083486" cy="209845"/>
          <wp:effectExtent l="0" t="0" r="0" b="0"/>
          <wp:docPr id="6" name="Picture 6"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employers-logo.png"/>
                  <pic:cNvPicPr/>
                </pic:nvPicPr>
                <pic:blipFill>
                  <a:blip r:embed="rId1">
                    <a:extLst>
                      <a:ext uri="{28A0092B-C50C-407E-A947-70E740481C1C}">
                        <a14:useLocalDpi xmlns:a14="http://schemas.microsoft.com/office/drawing/2010/main" val="0"/>
                      </a:ext>
                    </a:extLst>
                  </a:blip>
                  <a:stretch>
                    <a:fillRect/>
                  </a:stretch>
                </pic:blipFill>
                <pic:spPr>
                  <a:xfrm>
                    <a:off x="0" y="0"/>
                    <a:ext cx="1288917" cy="249632"/>
                  </a:xfrm>
                  <a:prstGeom prst="rect">
                    <a:avLst/>
                  </a:prstGeom>
                </pic:spPr>
              </pic:pic>
            </a:graphicData>
          </a:graphic>
        </wp:inline>
      </w:drawing>
    </w:r>
    <w:r>
      <w:tab/>
    </w:r>
    <w:r>
      <w:tab/>
    </w:r>
    <w:r w:rsidRPr="00085F81">
      <w:rPr>
        <w:color w:val="6A4F90"/>
      </w:rPr>
      <w:t>www.ussemployers.org.uk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0784F8" w14:textId="77777777" w:rsidR="0030005E" w:rsidRDefault="0030005E" w:rsidP="0030005E">
      <w:r>
        <w:separator/>
      </w:r>
    </w:p>
  </w:footnote>
  <w:footnote w:type="continuationSeparator" w:id="0">
    <w:p w14:paraId="1416032E" w14:textId="77777777" w:rsidR="0030005E" w:rsidRDefault="0030005E" w:rsidP="00300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843794"/>
      <w:docPartObj>
        <w:docPartGallery w:val="Page Numbers (Top of Page)"/>
        <w:docPartUnique/>
      </w:docPartObj>
    </w:sdtPr>
    <w:sdtEndPr>
      <w:rPr>
        <w:noProof/>
      </w:rPr>
    </w:sdtEndPr>
    <w:sdtContent>
      <w:p w14:paraId="58D708E5" w14:textId="22D45889" w:rsidR="00085F81" w:rsidRDefault="00C06535" w:rsidP="00085F81">
        <w:pPr>
          <w:pStyle w:val="Header"/>
          <w:jc w:val="center"/>
        </w:pPr>
        <w:r w:rsidRPr="00085F81">
          <w:rPr>
            <w:color w:val="6A4F90"/>
          </w:rPr>
          <w:fldChar w:fldCharType="begin"/>
        </w:r>
        <w:r w:rsidRPr="00085F81">
          <w:rPr>
            <w:color w:val="6A4F90"/>
          </w:rPr>
          <w:instrText xml:space="preserve"> PAGE   \* MERGEFORMAT </w:instrText>
        </w:r>
        <w:r w:rsidRPr="00085F81">
          <w:rPr>
            <w:color w:val="6A4F90"/>
          </w:rPr>
          <w:fldChar w:fldCharType="separate"/>
        </w:r>
        <w:r w:rsidRPr="00085F81">
          <w:rPr>
            <w:noProof/>
            <w:color w:val="6A4F90"/>
          </w:rPr>
          <w:t>2</w:t>
        </w:r>
        <w:r w:rsidRPr="00085F81">
          <w:rPr>
            <w:noProof/>
            <w:color w:val="6A4F90"/>
          </w:rPr>
          <w:fldChar w:fldCharType="end"/>
        </w:r>
        <w:r>
          <w:rPr>
            <w:noProof/>
          </w:rPr>
          <w:t xml:space="preserve"> | Responses to the USS </w:t>
        </w:r>
        <w:r w:rsidR="0030005E">
          <w:rPr>
            <w:noProof/>
          </w:rPr>
          <w:t>methodology and risk appetite discussion</w:t>
        </w:r>
        <w:r>
          <w:rPr>
            <w:noProof/>
          </w:rPr>
          <w:t xml:space="preserve"> document | </w:t>
        </w:r>
        <w:r>
          <w:rPr>
            <w:noProof/>
            <w:color w:val="6A4F90"/>
          </w:rPr>
          <w:t>March</w:t>
        </w:r>
        <w:r w:rsidRPr="00085F81">
          <w:rPr>
            <w:noProof/>
            <w:color w:val="6A4F90"/>
          </w:rPr>
          <w:t xml:space="preserve"> 2020</w:t>
        </w:r>
      </w:p>
    </w:sdtContent>
  </w:sdt>
  <w:p w14:paraId="5707C951" w14:textId="353A90DE" w:rsidR="00C4248F" w:rsidRDefault="00C42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44CAA"/>
    <w:multiLevelType w:val="hybridMultilevel"/>
    <w:tmpl w:val="24484680"/>
    <w:lvl w:ilvl="0" w:tplc="0E82DBD2">
      <w:start w:val="1"/>
      <w:numFmt w:val="decimal"/>
      <w:lvlText w:val="%1."/>
      <w:lvlJc w:val="left"/>
      <w:pPr>
        <w:ind w:left="360" w:hanging="360"/>
      </w:pPr>
      <w:rPr>
        <w:rFonts w:hint="default"/>
        <w:b/>
        <w:bCs/>
        <w:color w:val="6A4F9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836186"/>
    <w:multiLevelType w:val="hybridMultilevel"/>
    <w:tmpl w:val="6F582458"/>
    <w:lvl w:ilvl="0" w:tplc="0E82DBD2">
      <w:start w:val="1"/>
      <w:numFmt w:val="decimal"/>
      <w:lvlText w:val="%1."/>
      <w:lvlJc w:val="left"/>
      <w:pPr>
        <w:ind w:left="720" w:hanging="360"/>
      </w:pPr>
      <w:rPr>
        <w:rFonts w:hint="default"/>
        <w:b/>
        <w:bCs/>
        <w:color w:val="6A4F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DA73DEC"/>
    <w:multiLevelType w:val="hybridMultilevel"/>
    <w:tmpl w:val="6F582458"/>
    <w:lvl w:ilvl="0" w:tplc="0E82DBD2">
      <w:start w:val="1"/>
      <w:numFmt w:val="decimal"/>
      <w:lvlText w:val="%1."/>
      <w:lvlJc w:val="left"/>
      <w:pPr>
        <w:ind w:left="720" w:hanging="360"/>
      </w:pPr>
      <w:rPr>
        <w:rFonts w:hint="default"/>
        <w:b/>
        <w:bCs/>
        <w:color w:val="6A4F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62CBB"/>
    <w:multiLevelType w:val="hybridMultilevel"/>
    <w:tmpl w:val="6F582458"/>
    <w:lvl w:ilvl="0" w:tplc="0E82DBD2">
      <w:start w:val="1"/>
      <w:numFmt w:val="decimal"/>
      <w:lvlText w:val="%1."/>
      <w:lvlJc w:val="left"/>
      <w:pPr>
        <w:ind w:left="360" w:hanging="360"/>
      </w:pPr>
      <w:rPr>
        <w:rFonts w:hint="default"/>
        <w:b/>
        <w:bCs/>
        <w:color w:val="6A4F9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1C7DDC"/>
    <w:multiLevelType w:val="hybridMultilevel"/>
    <w:tmpl w:val="6F582458"/>
    <w:lvl w:ilvl="0" w:tplc="0E82DBD2">
      <w:start w:val="1"/>
      <w:numFmt w:val="decimal"/>
      <w:lvlText w:val="%1."/>
      <w:lvlJc w:val="left"/>
      <w:pPr>
        <w:ind w:left="720" w:hanging="360"/>
      </w:pPr>
      <w:rPr>
        <w:rFonts w:hint="default"/>
        <w:b/>
        <w:bCs/>
        <w:color w:val="6A4F9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C20"/>
    <w:rsid w:val="00001860"/>
    <w:rsid w:val="00002F31"/>
    <w:rsid w:val="000074CD"/>
    <w:rsid w:val="00024772"/>
    <w:rsid w:val="000254F9"/>
    <w:rsid w:val="00041267"/>
    <w:rsid w:val="000456EA"/>
    <w:rsid w:val="00053CB0"/>
    <w:rsid w:val="00074FB5"/>
    <w:rsid w:val="00096C35"/>
    <w:rsid w:val="000B2871"/>
    <w:rsid w:val="000B3351"/>
    <w:rsid w:val="000E2256"/>
    <w:rsid w:val="000F2FE8"/>
    <w:rsid w:val="000F6413"/>
    <w:rsid w:val="00110E63"/>
    <w:rsid w:val="00150EE4"/>
    <w:rsid w:val="001539D3"/>
    <w:rsid w:val="00154028"/>
    <w:rsid w:val="001A5AD1"/>
    <w:rsid w:val="001A6E88"/>
    <w:rsid w:val="001B0723"/>
    <w:rsid w:val="001C5204"/>
    <w:rsid w:val="001C7912"/>
    <w:rsid w:val="001D70BB"/>
    <w:rsid w:val="001E4DAE"/>
    <w:rsid w:val="001F250D"/>
    <w:rsid w:val="0020732D"/>
    <w:rsid w:val="00214D37"/>
    <w:rsid w:val="00220554"/>
    <w:rsid w:val="00220934"/>
    <w:rsid w:val="0023715B"/>
    <w:rsid w:val="00251E06"/>
    <w:rsid w:val="0025571D"/>
    <w:rsid w:val="00257DC8"/>
    <w:rsid w:val="00260F6D"/>
    <w:rsid w:val="00267817"/>
    <w:rsid w:val="00274162"/>
    <w:rsid w:val="00277760"/>
    <w:rsid w:val="002816EB"/>
    <w:rsid w:val="00283CE2"/>
    <w:rsid w:val="00285F9B"/>
    <w:rsid w:val="0029581E"/>
    <w:rsid w:val="002B14D3"/>
    <w:rsid w:val="002B2CE5"/>
    <w:rsid w:val="002B414F"/>
    <w:rsid w:val="002C32D8"/>
    <w:rsid w:val="002E295F"/>
    <w:rsid w:val="002E36CD"/>
    <w:rsid w:val="002E651E"/>
    <w:rsid w:val="002F45D7"/>
    <w:rsid w:val="0030005E"/>
    <w:rsid w:val="00316540"/>
    <w:rsid w:val="003173EC"/>
    <w:rsid w:val="00317DC6"/>
    <w:rsid w:val="00323287"/>
    <w:rsid w:val="0033349B"/>
    <w:rsid w:val="00356FB0"/>
    <w:rsid w:val="003608A4"/>
    <w:rsid w:val="00362E04"/>
    <w:rsid w:val="0037772B"/>
    <w:rsid w:val="003819D6"/>
    <w:rsid w:val="00385F49"/>
    <w:rsid w:val="003A073F"/>
    <w:rsid w:val="003B41FB"/>
    <w:rsid w:val="003C389D"/>
    <w:rsid w:val="003E1766"/>
    <w:rsid w:val="003E3742"/>
    <w:rsid w:val="003E7338"/>
    <w:rsid w:val="003F2429"/>
    <w:rsid w:val="003F775E"/>
    <w:rsid w:val="00416872"/>
    <w:rsid w:val="0042319F"/>
    <w:rsid w:val="00423E36"/>
    <w:rsid w:val="00432C9D"/>
    <w:rsid w:val="004440E0"/>
    <w:rsid w:val="004D3857"/>
    <w:rsid w:val="004E3C7D"/>
    <w:rsid w:val="004E6E99"/>
    <w:rsid w:val="004F27C0"/>
    <w:rsid w:val="005020D5"/>
    <w:rsid w:val="005035B5"/>
    <w:rsid w:val="00503AD0"/>
    <w:rsid w:val="00536314"/>
    <w:rsid w:val="00545DEA"/>
    <w:rsid w:val="00554B29"/>
    <w:rsid w:val="00557A27"/>
    <w:rsid w:val="00561B42"/>
    <w:rsid w:val="00565BD2"/>
    <w:rsid w:val="00570769"/>
    <w:rsid w:val="0057453F"/>
    <w:rsid w:val="00596189"/>
    <w:rsid w:val="005A2A4D"/>
    <w:rsid w:val="005C486E"/>
    <w:rsid w:val="005D6853"/>
    <w:rsid w:val="005D7CD4"/>
    <w:rsid w:val="005F1FD4"/>
    <w:rsid w:val="005F232C"/>
    <w:rsid w:val="00610B7F"/>
    <w:rsid w:val="006151F9"/>
    <w:rsid w:val="00646CAA"/>
    <w:rsid w:val="00665EF1"/>
    <w:rsid w:val="006807EE"/>
    <w:rsid w:val="00690FFE"/>
    <w:rsid w:val="006A5705"/>
    <w:rsid w:val="006B1632"/>
    <w:rsid w:val="006B6420"/>
    <w:rsid w:val="006C7D7A"/>
    <w:rsid w:val="006D0EA5"/>
    <w:rsid w:val="006D4A28"/>
    <w:rsid w:val="006E19A1"/>
    <w:rsid w:val="006E390D"/>
    <w:rsid w:val="006E4547"/>
    <w:rsid w:val="006E68B2"/>
    <w:rsid w:val="006F464B"/>
    <w:rsid w:val="006F66B8"/>
    <w:rsid w:val="007119C7"/>
    <w:rsid w:val="007133D9"/>
    <w:rsid w:val="00714DDF"/>
    <w:rsid w:val="00721045"/>
    <w:rsid w:val="00722B12"/>
    <w:rsid w:val="0072628E"/>
    <w:rsid w:val="007312E9"/>
    <w:rsid w:val="0074248C"/>
    <w:rsid w:val="00743674"/>
    <w:rsid w:val="00752EB0"/>
    <w:rsid w:val="007567B2"/>
    <w:rsid w:val="00767CE5"/>
    <w:rsid w:val="00772249"/>
    <w:rsid w:val="00781B69"/>
    <w:rsid w:val="00791A0F"/>
    <w:rsid w:val="00792581"/>
    <w:rsid w:val="007972F6"/>
    <w:rsid w:val="00797CEB"/>
    <w:rsid w:val="007A5D0F"/>
    <w:rsid w:val="007B1C0D"/>
    <w:rsid w:val="007C13DB"/>
    <w:rsid w:val="007C4A3F"/>
    <w:rsid w:val="007C5458"/>
    <w:rsid w:val="0080713D"/>
    <w:rsid w:val="00810176"/>
    <w:rsid w:val="0083272E"/>
    <w:rsid w:val="0083278E"/>
    <w:rsid w:val="00836033"/>
    <w:rsid w:val="00845C9F"/>
    <w:rsid w:val="00853D0D"/>
    <w:rsid w:val="00853D84"/>
    <w:rsid w:val="008623CB"/>
    <w:rsid w:val="00864386"/>
    <w:rsid w:val="00871A58"/>
    <w:rsid w:val="008911B5"/>
    <w:rsid w:val="00894C0B"/>
    <w:rsid w:val="00894D54"/>
    <w:rsid w:val="0089520E"/>
    <w:rsid w:val="008A4872"/>
    <w:rsid w:val="008B0CC6"/>
    <w:rsid w:val="008C11DB"/>
    <w:rsid w:val="008C6267"/>
    <w:rsid w:val="008D3FB3"/>
    <w:rsid w:val="008F6DAC"/>
    <w:rsid w:val="00916AAA"/>
    <w:rsid w:val="00927435"/>
    <w:rsid w:val="00931F7A"/>
    <w:rsid w:val="00933FEA"/>
    <w:rsid w:val="0094207F"/>
    <w:rsid w:val="00943949"/>
    <w:rsid w:val="009773CF"/>
    <w:rsid w:val="00993E15"/>
    <w:rsid w:val="009B26BD"/>
    <w:rsid w:val="009C11E6"/>
    <w:rsid w:val="009D04C7"/>
    <w:rsid w:val="009D1989"/>
    <w:rsid w:val="009E2A90"/>
    <w:rsid w:val="009E5D5D"/>
    <w:rsid w:val="009F47E2"/>
    <w:rsid w:val="00A10FB6"/>
    <w:rsid w:val="00A13106"/>
    <w:rsid w:val="00A30E90"/>
    <w:rsid w:val="00A34148"/>
    <w:rsid w:val="00A53269"/>
    <w:rsid w:val="00A734A0"/>
    <w:rsid w:val="00A94ECF"/>
    <w:rsid w:val="00AC41CE"/>
    <w:rsid w:val="00AD52DE"/>
    <w:rsid w:val="00AD5495"/>
    <w:rsid w:val="00AE67DB"/>
    <w:rsid w:val="00B13D73"/>
    <w:rsid w:val="00B258DC"/>
    <w:rsid w:val="00B33C27"/>
    <w:rsid w:val="00B4171E"/>
    <w:rsid w:val="00B42D47"/>
    <w:rsid w:val="00B44331"/>
    <w:rsid w:val="00B46D50"/>
    <w:rsid w:val="00B472CA"/>
    <w:rsid w:val="00B50271"/>
    <w:rsid w:val="00B61EA4"/>
    <w:rsid w:val="00B7157C"/>
    <w:rsid w:val="00B82F56"/>
    <w:rsid w:val="00B85182"/>
    <w:rsid w:val="00B93F44"/>
    <w:rsid w:val="00B97900"/>
    <w:rsid w:val="00BC597B"/>
    <w:rsid w:val="00BD37AC"/>
    <w:rsid w:val="00BD39B2"/>
    <w:rsid w:val="00BD7C20"/>
    <w:rsid w:val="00BF4497"/>
    <w:rsid w:val="00BF72AC"/>
    <w:rsid w:val="00C06535"/>
    <w:rsid w:val="00C13A4D"/>
    <w:rsid w:val="00C2032F"/>
    <w:rsid w:val="00C2351F"/>
    <w:rsid w:val="00C23619"/>
    <w:rsid w:val="00C31560"/>
    <w:rsid w:val="00C33108"/>
    <w:rsid w:val="00C37636"/>
    <w:rsid w:val="00C4248F"/>
    <w:rsid w:val="00C4529E"/>
    <w:rsid w:val="00C46EC5"/>
    <w:rsid w:val="00C51BB3"/>
    <w:rsid w:val="00C673A8"/>
    <w:rsid w:val="00C720CA"/>
    <w:rsid w:val="00C80C6F"/>
    <w:rsid w:val="00C91227"/>
    <w:rsid w:val="00C9169B"/>
    <w:rsid w:val="00CA0899"/>
    <w:rsid w:val="00CC1D64"/>
    <w:rsid w:val="00CC6A7D"/>
    <w:rsid w:val="00CD1C20"/>
    <w:rsid w:val="00CD2597"/>
    <w:rsid w:val="00CE6BF5"/>
    <w:rsid w:val="00CF3962"/>
    <w:rsid w:val="00CF59C8"/>
    <w:rsid w:val="00D16059"/>
    <w:rsid w:val="00D264FF"/>
    <w:rsid w:val="00D33BDB"/>
    <w:rsid w:val="00D346EE"/>
    <w:rsid w:val="00D36B96"/>
    <w:rsid w:val="00D575B4"/>
    <w:rsid w:val="00D8510C"/>
    <w:rsid w:val="00DA4A64"/>
    <w:rsid w:val="00DA4E68"/>
    <w:rsid w:val="00DA62AF"/>
    <w:rsid w:val="00DA718B"/>
    <w:rsid w:val="00DC553A"/>
    <w:rsid w:val="00DD0A27"/>
    <w:rsid w:val="00DD1E83"/>
    <w:rsid w:val="00DE5376"/>
    <w:rsid w:val="00DE5D14"/>
    <w:rsid w:val="00DE7EDD"/>
    <w:rsid w:val="00DF1CF6"/>
    <w:rsid w:val="00E06701"/>
    <w:rsid w:val="00E36F02"/>
    <w:rsid w:val="00E453AE"/>
    <w:rsid w:val="00E556E1"/>
    <w:rsid w:val="00E56F7E"/>
    <w:rsid w:val="00E57D97"/>
    <w:rsid w:val="00E8651B"/>
    <w:rsid w:val="00E9052C"/>
    <w:rsid w:val="00E93CF5"/>
    <w:rsid w:val="00EA0F86"/>
    <w:rsid w:val="00EB7C71"/>
    <w:rsid w:val="00EC0F04"/>
    <w:rsid w:val="00EC292F"/>
    <w:rsid w:val="00ED1FEC"/>
    <w:rsid w:val="00EE0424"/>
    <w:rsid w:val="00EF10F2"/>
    <w:rsid w:val="00EF7D44"/>
    <w:rsid w:val="00F115EF"/>
    <w:rsid w:val="00F16198"/>
    <w:rsid w:val="00F2502E"/>
    <w:rsid w:val="00F34BC7"/>
    <w:rsid w:val="00F42F4B"/>
    <w:rsid w:val="00F45E51"/>
    <w:rsid w:val="00F52810"/>
    <w:rsid w:val="00F56A4D"/>
    <w:rsid w:val="00F6012D"/>
    <w:rsid w:val="00F65910"/>
    <w:rsid w:val="00F700F0"/>
    <w:rsid w:val="00F73A0C"/>
    <w:rsid w:val="00F953B3"/>
    <w:rsid w:val="00FB724F"/>
    <w:rsid w:val="00FD00FD"/>
    <w:rsid w:val="00FD1F45"/>
    <w:rsid w:val="00FE37CF"/>
    <w:rsid w:val="00FF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4854A7"/>
  <w15:chartTrackingRefBased/>
  <w15:docId w15:val="{DD2ECD72-EF86-48FD-BE28-69DD3CBA8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D7C20"/>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BF5"/>
    <w:pPr>
      <w:ind w:left="720"/>
      <w:contextualSpacing/>
    </w:pPr>
  </w:style>
  <w:style w:type="table" w:styleId="TableGrid">
    <w:name w:val="Table Grid"/>
    <w:basedOn w:val="TableNormal"/>
    <w:rsid w:val="00BD7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D7C20"/>
    <w:rPr>
      <w:color w:val="0000FF" w:themeColor="hyperlink"/>
      <w:u w:val="single"/>
    </w:rPr>
  </w:style>
  <w:style w:type="paragraph" w:styleId="Header">
    <w:name w:val="header"/>
    <w:basedOn w:val="Normal"/>
    <w:link w:val="HeaderChar"/>
    <w:uiPriority w:val="99"/>
    <w:unhideWhenUsed/>
    <w:rsid w:val="00BD7C20"/>
    <w:pPr>
      <w:tabs>
        <w:tab w:val="center" w:pos="4513"/>
        <w:tab w:val="right" w:pos="9026"/>
      </w:tabs>
    </w:pPr>
  </w:style>
  <w:style w:type="character" w:customStyle="1" w:styleId="HeaderChar">
    <w:name w:val="Header Char"/>
    <w:basedOn w:val="DefaultParagraphFont"/>
    <w:link w:val="Header"/>
    <w:uiPriority w:val="99"/>
    <w:rsid w:val="00BD7C20"/>
    <w:rPr>
      <w:rFonts w:ascii="Arial" w:hAnsi="Arial"/>
      <w:szCs w:val="24"/>
    </w:rPr>
  </w:style>
  <w:style w:type="paragraph" w:styleId="Footer">
    <w:name w:val="footer"/>
    <w:basedOn w:val="Normal"/>
    <w:link w:val="FooterChar"/>
    <w:unhideWhenUsed/>
    <w:rsid w:val="00BD7C20"/>
    <w:pPr>
      <w:tabs>
        <w:tab w:val="center" w:pos="4513"/>
        <w:tab w:val="right" w:pos="9026"/>
      </w:tabs>
    </w:pPr>
  </w:style>
  <w:style w:type="character" w:customStyle="1" w:styleId="FooterChar">
    <w:name w:val="Footer Char"/>
    <w:basedOn w:val="DefaultParagraphFont"/>
    <w:link w:val="Footer"/>
    <w:rsid w:val="00BD7C20"/>
    <w:rPr>
      <w:rFonts w:ascii="Arial" w:hAnsi="Arial"/>
      <w:szCs w:val="24"/>
    </w:rPr>
  </w:style>
  <w:style w:type="paragraph" w:customStyle="1" w:styleId="2ColumnBody">
    <w:name w:val="2 Column Body"/>
    <w:basedOn w:val="Normal"/>
    <w:rsid w:val="00BD7C20"/>
    <w:pPr>
      <w:spacing w:after="120" w:line="264" w:lineRule="auto"/>
    </w:pPr>
    <w:rPr>
      <w:rFonts w:eastAsia="MS Mincho"/>
      <w:szCs w:val="20"/>
      <w:lang w:eastAsia="en-US"/>
    </w:rPr>
  </w:style>
  <w:style w:type="character" w:styleId="UnresolvedMention">
    <w:name w:val="Unresolved Mention"/>
    <w:basedOn w:val="DefaultParagraphFont"/>
    <w:uiPriority w:val="99"/>
    <w:semiHidden/>
    <w:unhideWhenUsed/>
    <w:rsid w:val="00C06535"/>
    <w:rPr>
      <w:color w:val="605E5C"/>
      <w:shd w:val="clear" w:color="auto" w:fill="E1DFDD"/>
    </w:rPr>
  </w:style>
  <w:style w:type="paragraph" w:styleId="BalloonText">
    <w:name w:val="Balloon Text"/>
    <w:basedOn w:val="Normal"/>
    <w:link w:val="BalloonTextChar"/>
    <w:semiHidden/>
    <w:unhideWhenUsed/>
    <w:rsid w:val="00F34BC7"/>
    <w:rPr>
      <w:rFonts w:ascii="Segoe UI" w:hAnsi="Segoe UI" w:cs="Segoe UI"/>
      <w:sz w:val="18"/>
      <w:szCs w:val="18"/>
    </w:rPr>
  </w:style>
  <w:style w:type="character" w:customStyle="1" w:styleId="BalloonTextChar">
    <w:name w:val="Balloon Text Char"/>
    <w:basedOn w:val="DefaultParagraphFont"/>
    <w:link w:val="BalloonText"/>
    <w:semiHidden/>
    <w:rsid w:val="00F34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654056">
      <w:bodyDiv w:val="1"/>
      <w:marLeft w:val="0"/>
      <w:marRight w:val="0"/>
      <w:marTop w:val="0"/>
      <w:marBottom w:val="0"/>
      <w:divBdr>
        <w:top w:val="none" w:sz="0" w:space="0" w:color="auto"/>
        <w:left w:val="none" w:sz="0" w:space="0" w:color="auto"/>
        <w:bottom w:val="none" w:sz="0" w:space="0" w:color="auto"/>
        <w:right w:val="none" w:sz="0" w:space="0" w:color="auto"/>
      </w:divBdr>
    </w:div>
    <w:div w:id="389229175">
      <w:bodyDiv w:val="1"/>
      <w:marLeft w:val="0"/>
      <w:marRight w:val="0"/>
      <w:marTop w:val="0"/>
      <w:marBottom w:val="0"/>
      <w:divBdr>
        <w:top w:val="none" w:sz="0" w:space="0" w:color="auto"/>
        <w:left w:val="none" w:sz="0" w:space="0" w:color="auto"/>
        <w:bottom w:val="none" w:sz="0" w:space="0" w:color="auto"/>
        <w:right w:val="none" w:sz="0" w:space="0" w:color="auto"/>
      </w:divBdr>
    </w:div>
    <w:div w:id="538713179">
      <w:bodyDiv w:val="1"/>
      <w:marLeft w:val="0"/>
      <w:marRight w:val="0"/>
      <w:marTop w:val="0"/>
      <w:marBottom w:val="0"/>
      <w:divBdr>
        <w:top w:val="none" w:sz="0" w:space="0" w:color="auto"/>
        <w:left w:val="none" w:sz="0" w:space="0" w:color="auto"/>
        <w:bottom w:val="none" w:sz="0" w:space="0" w:color="auto"/>
        <w:right w:val="none" w:sz="0" w:space="0" w:color="auto"/>
      </w:divBdr>
    </w:div>
    <w:div w:id="1790125850">
      <w:bodyDiv w:val="1"/>
      <w:marLeft w:val="0"/>
      <w:marRight w:val="0"/>
      <w:marTop w:val="0"/>
      <w:marBottom w:val="0"/>
      <w:divBdr>
        <w:top w:val="none" w:sz="0" w:space="0" w:color="auto"/>
        <w:left w:val="none" w:sz="0" w:space="0" w:color="auto"/>
        <w:bottom w:val="none" w:sz="0" w:space="0" w:color="auto"/>
        <w:right w:val="none" w:sz="0" w:space="0" w:color="auto"/>
      </w:divBdr>
    </w:div>
    <w:div w:id="2108767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nsions@universitiesuk.ac.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aluation@uss.co.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nsions@universtiesuk.ac.uk" TargetMode="External"/><Relationship Id="rId4" Type="http://schemas.openxmlformats.org/officeDocument/2006/relationships/webSettings" Target="webSettings.xml"/><Relationship Id="rId9" Type="http://schemas.openxmlformats.org/officeDocument/2006/relationships/hyperlink" Target="mailto:valuation@uss.co.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875</Words>
  <Characters>4730</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Beden</dc:creator>
  <cp:keywords/>
  <dc:description/>
  <cp:lastModifiedBy>Rita Beden</cp:lastModifiedBy>
  <cp:revision>2</cp:revision>
  <dcterms:created xsi:type="dcterms:W3CDTF">2020-03-17T11:00:00Z</dcterms:created>
  <dcterms:modified xsi:type="dcterms:W3CDTF">2020-03-17T11:00:00Z</dcterms:modified>
</cp:coreProperties>
</file>