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5F81" w:rsidRDefault="00085F81" w:rsidP="00477D4E">
      <w:pPr>
        <w:spacing w:after="240"/>
        <w:rPr>
          <w:color w:val="6A4F90"/>
          <w:sz w:val="32"/>
          <w:szCs w:val="36"/>
        </w:rPr>
      </w:pPr>
      <w:r>
        <w:rPr>
          <w:noProof/>
          <w:color w:val="6A4F90"/>
          <w:sz w:val="32"/>
          <w:szCs w:val="36"/>
        </w:rPr>
        <w:drawing>
          <wp:inline distT="0" distB="0" distL="0" distR="0">
            <wp:extent cx="2998382" cy="580715"/>
            <wp:effectExtent l="0" t="0" r="0" b="0"/>
            <wp:docPr id="2" name="Picture 2"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ss-employers-logo.png"/>
                    <pic:cNvPicPr/>
                  </pic:nvPicPr>
                  <pic:blipFill>
                    <a:blip r:embed="rId7">
                      <a:extLst>
                        <a:ext uri="{28A0092B-C50C-407E-A947-70E740481C1C}">
                          <a14:useLocalDpi xmlns:a14="http://schemas.microsoft.com/office/drawing/2010/main" val="0"/>
                        </a:ext>
                      </a:extLst>
                    </a:blip>
                    <a:stretch>
                      <a:fillRect/>
                    </a:stretch>
                  </pic:blipFill>
                  <pic:spPr>
                    <a:xfrm>
                      <a:off x="0" y="0"/>
                      <a:ext cx="3109914" cy="602316"/>
                    </a:xfrm>
                    <a:prstGeom prst="rect">
                      <a:avLst/>
                    </a:prstGeom>
                  </pic:spPr>
                </pic:pic>
              </a:graphicData>
            </a:graphic>
          </wp:inline>
        </w:drawing>
      </w:r>
    </w:p>
    <w:p w:rsidR="00085F81" w:rsidRDefault="00085F81" w:rsidP="00477D4E">
      <w:pPr>
        <w:spacing w:after="240"/>
        <w:rPr>
          <w:color w:val="6A4F90"/>
          <w:sz w:val="32"/>
          <w:szCs w:val="36"/>
        </w:rPr>
      </w:pPr>
    </w:p>
    <w:p w:rsidR="00477D4E" w:rsidRPr="00477D4E" w:rsidRDefault="00477D4E" w:rsidP="00477D4E">
      <w:pPr>
        <w:spacing w:after="240"/>
        <w:rPr>
          <w:color w:val="6A4F90"/>
          <w:sz w:val="32"/>
          <w:szCs w:val="36"/>
        </w:rPr>
      </w:pPr>
      <w:r w:rsidRPr="00477D4E">
        <w:rPr>
          <w:color w:val="6A4F90"/>
          <w:sz w:val="32"/>
          <w:szCs w:val="36"/>
        </w:rPr>
        <w:t>MAKING YOUR RESPONSE TO THE FIRST CONSULTATION ON THE JOINT EXPERT PANEL’S REPORT AND THE 2020 AND FUTURE ACTUARIAL VALUATION</w:t>
      </w:r>
    </w:p>
    <w:p w:rsidR="00477D4E" w:rsidRDefault="00477D4E" w:rsidP="00477D4E">
      <w:pPr>
        <w:spacing w:after="240"/>
      </w:pPr>
      <w:r>
        <w:t xml:space="preserve">We welcome responses to this consultation from each and every one of the scheme’s participating employers. </w:t>
      </w:r>
    </w:p>
    <w:p w:rsidR="00477D4E" w:rsidRDefault="00477D4E" w:rsidP="00477D4E">
      <w:pPr>
        <w:spacing w:after="240"/>
      </w:pPr>
      <w:r>
        <w:t xml:space="preserve">We are keen to have the widest possible range of views and perspectives ahead of what are set to be crucial discussions, and eventual decision-making, regarding the valuation and about the long-term sustainability of USS. </w:t>
      </w:r>
    </w:p>
    <w:p w:rsidR="00477D4E" w:rsidRDefault="00477D4E" w:rsidP="00477D4E">
      <w:pPr>
        <w:spacing w:after="240"/>
      </w:pPr>
      <w:r>
        <w:t>Where possible, we welcome from Employers any feedback or analysis from your own exchanges on workplace pensions, for example from data on take up of USS membership, and in terms of member views and perceptions from previous consultations.</w:t>
      </w:r>
    </w:p>
    <w:p w:rsidR="00477D4E" w:rsidRDefault="00477D4E" w:rsidP="00477D4E">
      <w:pPr>
        <w:spacing w:after="240"/>
      </w:pPr>
      <w:r>
        <w:t xml:space="preserve">We plan a series of specific engagement events with employers during the three phases of consultations, and we will be in contact with employers with the details of our engagement schedule.  </w:t>
      </w:r>
    </w:p>
    <w:p w:rsidR="00477D4E" w:rsidRDefault="00477D4E" w:rsidP="00477D4E">
      <w:pPr>
        <w:spacing w:after="240"/>
      </w:pPr>
      <w:r>
        <w:t>We encourage employers to consult with their own governing, decision-making bodies so that the responses provided can be considered to be the view of the employer. We ask that employers confirm whether the organisation’s governing body has been consulted.</w:t>
      </w:r>
    </w:p>
    <w:p w:rsidR="00477D4E" w:rsidRDefault="00477D4E" w:rsidP="00477D4E">
      <w:pPr>
        <w:spacing w:after="240"/>
      </w:pPr>
      <w:r>
        <w:t>This template form is optional and can be used for the response from your institution.</w:t>
      </w:r>
    </w:p>
    <w:p w:rsidR="00477D4E" w:rsidRPr="00085F81" w:rsidRDefault="00477D4E" w:rsidP="00477D4E">
      <w:pPr>
        <w:spacing w:after="240"/>
        <w:rPr>
          <w:b/>
          <w:bCs/>
        </w:rPr>
      </w:pPr>
      <w:r w:rsidRPr="00085F81">
        <w:rPr>
          <w:b/>
          <w:bCs/>
        </w:rPr>
        <w:t xml:space="preserve">Please send the response from your institution to </w:t>
      </w:r>
      <w:hyperlink r:id="rId8" w:history="1">
        <w:r w:rsidR="00085F81" w:rsidRPr="00085F81">
          <w:rPr>
            <w:rStyle w:val="Hyperlink"/>
            <w:b/>
            <w:bCs/>
            <w:color w:val="6A4F90"/>
          </w:rPr>
          <w:t>pensions@universitiesuk.ac.uk</w:t>
        </w:r>
      </w:hyperlink>
      <w:r w:rsidR="00085F81">
        <w:rPr>
          <w:b/>
          <w:bCs/>
        </w:rPr>
        <w:t xml:space="preserve"> </w:t>
      </w:r>
      <w:r w:rsidRPr="00085F81">
        <w:rPr>
          <w:b/>
          <w:bCs/>
        </w:rPr>
        <w:t>by Friday 28 February 2020</w:t>
      </w:r>
    </w:p>
    <w:p w:rsidR="00477D4E" w:rsidRDefault="00477D4E">
      <w:r>
        <w:br w:type="page"/>
      </w:r>
    </w:p>
    <w:p w:rsidR="00477D4E" w:rsidRPr="00477D4E" w:rsidRDefault="00477D4E" w:rsidP="00477D4E">
      <w:pPr>
        <w:spacing w:after="240"/>
        <w:rPr>
          <w:color w:val="6A4F90"/>
          <w:sz w:val="24"/>
          <w:szCs w:val="32"/>
        </w:rPr>
      </w:pPr>
      <w:r w:rsidRPr="00477D4E">
        <w:rPr>
          <w:color w:val="6A4F90"/>
          <w:sz w:val="24"/>
          <w:szCs w:val="32"/>
        </w:rPr>
        <w:lastRenderedPageBreak/>
        <w:t>PRINCIPLES TO UNDERPIN THE VALUATION</w:t>
      </w:r>
    </w:p>
    <w:p w:rsidR="00477D4E" w:rsidRDefault="00487B5D" w:rsidP="00487B5D">
      <w:pPr>
        <w:pStyle w:val="ListParagraph"/>
        <w:numPr>
          <w:ilvl w:val="0"/>
          <w:numId w:val="1"/>
        </w:numPr>
        <w:spacing w:after="240"/>
        <w:ind w:left="426" w:hanging="426"/>
      </w:pPr>
      <w:r w:rsidRPr="00477D4E">
        <w:t>What are your views on the introduction of a scheme purpose statement, and do you agree that such a statement can be useful?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8312"/>
      </w:tblGrid>
      <w:tr w:rsidR="00487B5D" w:rsidTr="00487B5D">
        <w:trPr>
          <w:trHeight w:val="12099"/>
        </w:trPr>
        <w:tc>
          <w:tcPr>
            <w:tcW w:w="8522" w:type="dxa"/>
            <w:shd w:val="clear" w:color="auto" w:fill="F2F2F2" w:themeFill="background1" w:themeFillShade="F2"/>
          </w:tcPr>
          <w:p w:rsidR="00487B5D" w:rsidRDefault="00487B5D" w:rsidP="00487B5D">
            <w:pPr>
              <w:spacing w:after="240"/>
            </w:pPr>
          </w:p>
        </w:tc>
      </w:tr>
    </w:tbl>
    <w:p w:rsidR="00477D4E" w:rsidRDefault="00477D4E">
      <w:r>
        <w:br w:type="page"/>
      </w:r>
    </w:p>
    <w:p w:rsidR="00477D4E" w:rsidRDefault="00477D4E"/>
    <w:p w:rsidR="00477D4E" w:rsidRDefault="00477D4E" w:rsidP="00487B5D">
      <w:pPr>
        <w:pStyle w:val="ListParagraph"/>
        <w:numPr>
          <w:ilvl w:val="0"/>
          <w:numId w:val="1"/>
        </w:numPr>
        <w:spacing w:after="240"/>
        <w:ind w:left="426" w:hanging="426"/>
      </w:pPr>
      <w:r>
        <w:t>Do you believe it helpful to set out valuation principles, and what are your views on the principles as proposed by the JEP?</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8312"/>
      </w:tblGrid>
      <w:tr w:rsidR="00487B5D" w:rsidTr="00455655">
        <w:trPr>
          <w:trHeight w:val="12099"/>
        </w:trPr>
        <w:tc>
          <w:tcPr>
            <w:tcW w:w="8522" w:type="dxa"/>
            <w:shd w:val="clear" w:color="auto" w:fill="F2F2F2" w:themeFill="background1" w:themeFillShade="F2"/>
          </w:tcPr>
          <w:p w:rsidR="00487B5D" w:rsidRDefault="00487B5D" w:rsidP="00455655">
            <w:pPr>
              <w:spacing w:after="240"/>
            </w:pPr>
          </w:p>
        </w:tc>
      </w:tr>
    </w:tbl>
    <w:p w:rsidR="00487B5D" w:rsidRDefault="00487B5D">
      <w:r>
        <w:br w:type="page"/>
      </w:r>
    </w:p>
    <w:p w:rsidR="00477D4E" w:rsidRDefault="00477D4E" w:rsidP="00487B5D">
      <w:pPr>
        <w:pStyle w:val="ListParagraph"/>
        <w:numPr>
          <w:ilvl w:val="0"/>
          <w:numId w:val="1"/>
        </w:numPr>
        <w:spacing w:after="240"/>
        <w:ind w:left="426" w:hanging="426"/>
      </w:pPr>
      <w:r>
        <w:lastRenderedPageBreak/>
        <w:t xml:space="preserve">Do you have any further comments on valuation principles or the JEP2 report’s section </w:t>
      </w:r>
      <w:proofErr w:type="gramStart"/>
      <w:r>
        <w:t>6</w:t>
      </w:r>
      <w:proofErr w:type="gramEnd"/>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8312"/>
      </w:tblGrid>
      <w:tr w:rsidR="00487B5D" w:rsidTr="00085F81">
        <w:trPr>
          <w:trHeight w:val="12567"/>
        </w:trPr>
        <w:tc>
          <w:tcPr>
            <w:tcW w:w="8522" w:type="dxa"/>
            <w:shd w:val="clear" w:color="auto" w:fill="F2F2F2" w:themeFill="background1" w:themeFillShade="F2"/>
          </w:tcPr>
          <w:p w:rsidR="00487B5D" w:rsidRDefault="00487B5D" w:rsidP="00455655">
            <w:pPr>
              <w:spacing w:after="240"/>
            </w:pPr>
          </w:p>
        </w:tc>
      </w:tr>
    </w:tbl>
    <w:p w:rsidR="00487B5D" w:rsidRDefault="00487B5D">
      <w:r>
        <w:br w:type="page"/>
      </w:r>
    </w:p>
    <w:p w:rsidR="00477D4E" w:rsidRPr="00487B5D" w:rsidRDefault="00487B5D" w:rsidP="00477D4E">
      <w:pPr>
        <w:spacing w:after="240"/>
        <w:rPr>
          <w:color w:val="6A4F90"/>
          <w:sz w:val="24"/>
          <w:szCs w:val="32"/>
        </w:rPr>
      </w:pPr>
      <w:r w:rsidRPr="00487B5D">
        <w:rPr>
          <w:color w:val="6A4F90"/>
          <w:sz w:val="24"/>
          <w:szCs w:val="32"/>
        </w:rPr>
        <w:lastRenderedPageBreak/>
        <w:t>VALUATION GOVERNANCE</w:t>
      </w:r>
    </w:p>
    <w:p w:rsidR="00477D4E" w:rsidRDefault="00477D4E" w:rsidP="00487B5D">
      <w:pPr>
        <w:pStyle w:val="ListParagraph"/>
        <w:numPr>
          <w:ilvl w:val="0"/>
          <w:numId w:val="1"/>
        </w:numPr>
        <w:spacing w:after="240"/>
        <w:ind w:left="426" w:hanging="426"/>
      </w:pPr>
      <w:r w:rsidRPr="00487B5D">
        <w:t xml:space="preserve">Do you believe that the scope of the areas of governance considered has been appropriate, and if </w:t>
      </w:r>
      <w:proofErr w:type="gramStart"/>
      <w:r w:rsidRPr="00487B5D">
        <w:t>not</w:t>
      </w:r>
      <w:proofErr w:type="gramEnd"/>
      <w:r w:rsidRPr="00487B5D">
        <w:t xml:space="preserve"> which additional areas do you believe would be helpful to be reviewed?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8312"/>
      </w:tblGrid>
      <w:tr w:rsidR="00487B5D" w:rsidTr="00455655">
        <w:trPr>
          <w:trHeight w:val="12099"/>
        </w:trPr>
        <w:tc>
          <w:tcPr>
            <w:tcW w:w="8522" w:type="dxa"/>
            <w:shd w:val="clear" w:color="auto" w:fill="F2F2F2" w:themeFill="background1" w:themeFillShade="F2"/>
          </w:tcPr>
          <w:p w:rsidR="00487B5D" w:rsidRDefault="00487B5D" w:rsidP="00455655">
            <w:pPr>
              <w:spacing w:after="240"/>
            </w:pPr>
          </w:p>
        </w:tc>
      </w:tr>
    </w:tbl>
    <w:p w:rsidR="00487B5D" w:rsidRDefault="00487B5D">
      <w:r>
        <w:br w:type="page"/>
      </w:r>
    </w:p>
    <w:p w:rsidR="00477D4E" w:rsidRDefault="00477D4E" w:rsidP="00487B5D">
      <w:pPr>
        <w:pStyle w:val="ListParagraph"/>
        <w:numPr>
          <w:ilvl w:val="0"/>
          <w:numId w:val="1"/>
        </w:numPr>
        <w:spacing w:after="240"/>
        <w:ind w:left="426" w:hanging="426"/>
      </w:pPr>
      <w:r>
        <w:lastRenderedPageBreak/>
        <w:t>What are your views on the specific recommendations as they apply to the trustee board, to the JNC, to UUK and to UCU?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8312"/>
      </w:tblGrid>
      <w:tr w:rsidR="00487B5D" w:rsidTr="00487B5D">
        <w:trPr>
          <w:trHeight w:val="12910"/>
        </w:trPr>
        <w:tc>
          <w:tcPr>
            <w:tcW w:w="8522" w:type="dxa"/>
            <w:shd w:val="clear" w:color="auto" w:fill="F2F2F2" w:themeFill="background1" w:themeFillShade="F2"/>
          </w:tcPr>
          <w:p w:rsidR="00487B5D" w:rsidRDefault="00487B5D" w:rsidP="00455655">
            <w:pPr>
              <w:spacing w:after="240"/>
            </w:pPr>
          </w:p>
        </w:tc>
      </w:tr>
    </w:tbl>
    <w:p w:rsidR="00487B5D" w:rsidRDefault="00487B5D" w:rsidP="00487B5D">
      <w:pPr>
        <w:spacing w:after="240"/>
      </w:pPr>
    </w:p>
    <w:p w:rsidR="00477D4E" w:rsidRDefault="00477D4E" w:rsidP="00487B5D">
      <w:pPr>
        <w:pStyle w:val="ListParagraph"/>
        <w:numPr>
          <w:ilvl w:val="0"/>
          <w:numId w:val="1"/>
        </w:numPr>
        <w:spacing w:after="240"/>
        <w:ind w:left="426" w:hanging="426"/>
      </w:pPr>
      <w:r>
        <w:lastRenderedPageBreak/>
        <w:t xml:space="preserve">Do you have any additional comments on valuation governance or the JEP2 report’s section </w:t>
      </w:r>
      <w:proofErr w:type="gramStart"/>
      <w:r>
        <w:t>7</w:t>
      </w:r>
      <w:proofErr w:type="gramEnd"/>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8312"/>
      </w:tblGrid>
      <w:tr w:rsidR="00487B5D" w:rsidTr="00487B5D">
        <w:trPr>
          <w:trHeight w:val="12910"/>
        </w:trPr>
        <w:tc>
          <w:tcPr>
            <w:tcW w:w="8522" w:type="dxa"/>
            <w:shd w:val="clear" w:color="auto" w:fill="F2F2F2" w:themeFill="background1" w:themeFillShade="F2"/>
          </w:tcPr>
          <w:p w:rsidR="00487B5D" w:rsidRDefault="00487B5D" w:rsidP="00455655">
            <w:pPr>
              <w:spacing w:after="240"/>
            </w:pPr>
          </w:p>
        </w:tc>
      </w:tr>
    </w:tbl>
    <w:p w:rsidR="00487B5D" w:rsidRDefault="00487B5D">
      <w:r>
        <w:br w:type="page"/>
      </w:r>
    </w:p>
    <w:p w:rsidR="00477D4E" w:rsidRPr="00487B5D" w:rsidRDefault="00487B5D" w:rsidP="00477D4E">
      <w:pPr>
        <w:spacing w:after="240"/>
        <w:rPr>
          <w:color w:val="6A4F90"/>
          <w:sz w:val="22"/>
          <w:szCs w:val="28"/>
        </w:rPr>
      </w:pPr>
      <w:r w:rsidRPr="00487B5D">
        <w:rPr>
          <w:color w:val="6A4F90"/>
          <w:sz w:val="22"/>
          <w:szCs w:val="28"/>
        </w:rPr>
        <w:lastRenderedPageBreak/>
        <w:t>ALTERNATIVE PATHS TO THE VALUATION</w:t>
      </w:r>
    </w:p>
    <w:p w:rsidR="00477D4E" w:rsidRDefault="00477D4E" w:rsidP="00487B5D">
      <w:pPr>
        <w:pStyle w:val="ListParagraph"/>
        <w:numPr>
          <w:ilvl w:val="0"/>
          <w:numId w:val="1"/>
        </w:numPr>
        <w:tabs>
          <w:tab w:val="left" w:pos="426"/>
        </w:tabs>
        <w:spacing w:after="240"/>
        <w:ind w:left="426" w:hanging="426"/>
      </w:pPr>
      <w:r>
        <w:t xml:space="preserve">What are your views on the outlook for the scheme being that it is an ongoing scheme, and also the various references by the JEP to it staying open?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8312"/>
      </w:tblGrid>
      <w:tr w:rsidR="00487B5D" w:rsidTr="00487B5D">
        <w:trPr>
          <w:trHeight w:val="12421"/>
        </w:trPr>
        <w:tc>
          <w:tcPr>
            <w:tcW w:w="8522" w:type="dxa"/>
            <w:shd w:val="clear" w:color="auto" w:fill="F2F2F2" w:themeFill="background1" w:themeFillShade="F2"/>
          </w:tcPr>
          <w:p w:rsidR="00487B5D" w:rsidRDefault="00487B5D" w:rsidP="00455655">
            <w:pPr>
              <w:spacing w:after="240"/>
            </w:pPr>
          </w:p>
        </w:tc>
      </w:tr>
    </w:tbl>
    <w:p w:rsidR="00487B5D" w:rsidRDefault="00487B5D" w:rsidP="00487B5D">
      <w:pPr>
        <w:tabs>
          <w:tab w:val="left" w:pos="426"/>
        </w:tabs>
        <w:spacing w:after="240"/>
      </w:pPr>
    </w:p>
    <w:p w:rsidR="00477D4E" w:rsidRDefault="00477D4E" w:rsidP="00487B5D">
      <w:pPr>
        <w:pStyle w:val="ListParagraph"/>
        <w:numPr>
          <w:ilvl w:val="0"/>
          <w:numId w:val="1"/>
        </w:numPr>
        <w:spacing w:after="240"/>
        <w:ind w:left="426" w:hanging="426"/>
      </w:pPr>
      <w:r>
        <w:lastRenderedPageBreak/>
        <w:t xml:space="preserve">In relation to risk appetite, what would employers find helpful in order for them to better understand the risk and reward trade-offs in USS?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8312"/>
      </w:tblGrid>
      <w:tr w:rsidR="00487B5D" w:rsidTr="00455655">
        <w:trPr>
          <w:trHeight w:val="12099"/>
        </w:trPr>
        <w:tc>
          <w:tcPr>
            <w:tcW w:w="8522" w:type="dxa"/>
            <w:shd w:val="clear" w:color="auto" w:fill="F2F2F2" w:themeFill="background1" w:themeFillShade="F2"/>
          </w:tcPr>
          <w:p w:rsidR="00487B5D" w:rsidRDefault="00487B5D" w:rsidP="00455655">
            <w:pPr>
              <w:spacing w:after="240"/>
            </w:pPr>
          </w:p>
        </w:tc>
      </w:tr>
    </w:tbl>
    <w:p w:rsidR="00487B5D" w:rsidRDefault="00487B5D" w:rsidP="00487B5D">
      <w:pPr>
        <w:spacing w:after="240"/>
      </w:pPr>
    </w:p>
    <w:p w:rsidR="00487B5D" w:rsidRDefault="00487B5D">
      <w:r>
        <w:br w:type="page"/>
      </w:r>
    </w:p>
    <w:p w:rsidR="00477D4E" w:rsidRDefault="00477D4E" w:rsidP="00487B5D">
      <w:pPr>
        <w:pStyle w:val="ListParagraph"/>
        <w:numPr>
          <w:ilvl w:val="0"/>
          <w:numId w:val="1"/>
        </w:numPr>
        <w:spacing w:after="240"/>
        <w:ind w:left="426" w:hanging="426"/>
      </w:pPr>
      <w:r>
        <w:lastRenderedPageBreak/>
        <w:t xml:space="preserve">Do you agree that the JEP’s proposals regarding a dual discount rate approach warrants further analysis and examination?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8312"/>
      </w:tblGrid>
      <w:tr w:rsidR="00487B5D" w:rsidTr="00455655">
        <w:trPr>
          <w:trHeight w:val="12099"/>
        </w:trPr>
        <w:tc>
          <w:tcPr>
            <w:tcW w:w="8522" w:type="dxa"/>
            <w:shd w:val="clear" w:color="auto" w:fill="F2F2F2" w:themeFill="background1" w:themeFillShade="F2"/>
          </w:tcPr>
          <w:p w:rsidR="00487B5D" w:rsidRDefault="00487B5D" w:rsidP="00455655">
            <w:pPr>
              <w:spacing w:after="240"/>
            </w:pPr>
          </w:p>
        </w:tc>
      </w:tr>
    </w:tbl>
    <w:p w:rsidR="00487B5D" w:rsidRDefault="00487B5D" w:rsidP="00487B5D">
      <w:pPr>
        <w:spacing w:after="240"/>
      </w:pPr>
    </w:p>
    <w:p w:rsidR="00487B5D" w:rsidRDefault="00487B5D">
      <w:r>
        <w:br w:type="page"/>
      </w:r>
    </w:p>
    <w:p w:rsidR="00477D4E" w:rsidRDefault="00477D4E" w:rsidP="00487B5D">
      <w:pPr>
        <w:pStyle w:val="ListParagraph"/>
        <w:numPr>
          <w:ilvl w:val="0"/>
          <w:numId w:val="1"/>
        </w:numPr>
        <w:spacing w:after="240"/>
        <w:ind w:left="426" w:hanging="426"/>
      </w:pPr>
      <w:r>
        <w:lastRenderedPageBreak/>
        <w:t xml:space="preserve">Do you have any additional comments on potential approaches to the 2020 and future valuations or the JEP2 report’s section 8?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8312"/>
      </w:tblGrid>
      <w:tr w:rsidR="00487B5D" w:rsidTr="00487B5D">
        <w:trPr>
          <w:trHeight w:val="12768"/>
        </w:trPr>
        <w:tc>
          <w:tcPr>
            <w:tcW w:w="8522" w:type="dxa"/>
            <w:shd w:val="clear" w:color="auto" w:fill="F2F2F2" w:themeFill="background1" w:themeFillShade="F2"/>
          </w:tcPr>
          <w:p w:rsidR="00487B5D" w:rsidRDefault="00487B5D" w:rsidP="00455655">
            <w:pPr>
              <w:spacing w:after="240"/>
            </w:pPr>
          </w:p>
        </w:tc>
      </w:tr>
    </w:tbl>
    <w:p w:rsidR="00487B5D" w:rsidRDefault="00487B5D">
      <w:r>
        <w:br w:type="page"/>
      </w:r>
    </w:p>
    <w:p w:rsidR="00477D4E" w:rsidRPr="00487B5D" w:rsidRDefault="00487B5D" w:rsidP="00477D4E">
      <w:pPr>
        <w:spacing w:after="240"/>
        <w:rPr>
          <w:color w:val="6A4F90"/>
          <w:sz w:val="24"/>
          <w:szCs w:val="32"/>
        </w:rPr>
      </w:pPr>
      <w:r w:rsidRPr="00487B5D">
        <w:rPr>
          <w:color w:val="6A4F90"/>
          <w:sz w:val="24"/>
          <w:szCs w:val="32"/>
        </w:rPr>
        <w:lastRenderedPageBreak/>
        <w:t>TAKING ACCOUNT OF THE NEEDS OF MEMBERS</w:t>
      </w:r>
    </w:p>
    <w:p w:rsidR="00477D4E" w:rsidRDefault="00477D4E" w:rsidP="00487B5D">
      <w:pPr>
        <w:pStyle w:val="ListParagraph"/>
        <w:numPr>
          <w:ilvl w:val="0"/>
          <w:numId w:val="1"/>
        </w:numPr>
        <w:spacing w:after="240"/>
        <w:ind w:left="426" w:hanging="426"/>
      </w:pPr>
      <w:r>
        <w:t xml:space="preserve">Are you concerned with the level of opting-out of USS, and if </w:t>
      </w:r>
      <w:proofErr w:type="gramStart"/>
      <w:r>
        <w:t>so</w:t>
      </w:r>
      <w:proofErr w:type="gramEnd"/>
      <w:r>
        <w:t xml:space="preserve"> what do you believe the principal reasons for it are?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8312"/>
      </w:tblGrid>
      <w:tr w:rsidR="00487B5D" w:rsidTr="00487B5D">
        <w:trPr>
          <w:trHeight w:val="12251"/>
        </w:trPr>
        <w:tc>
          <w:tcPr>
            <w:tcW w:w="8522" w:type="dxa"/>
            <w:shd w:val="clear" w:color="auto" w:fill="F2F2F2" w:themeFill="background1" w:themeFillShade="F2"/>
          </w:tcPr>
          <w:p w:rsidR="00487B5D" w:rsidRDefault="00487B5D" w:rsidP="00455655">
            <w:pPr>
              <w:spacing w:after="240"/>
            </w:pPr>
          </w:p>
        </w:tc>
      </w:tr>
    </w:tbl>
    <w:p w:rsidR="00487B5D" w:rsidRDefault="00487B5D" w:rsidP="00487B5D">
      <w:pPr>
        <w:spacing w:after="240"/>
      </w:pPr>
    </w:p>
    <w:p w:rsidR="00477D4E" w:rsidRDefault="00477D4E" w:rsidP="00487B5D">
      <w:pPr>
        <w:pStyle w:val="ListParagraph"/>
        <w:numPr>
          <w:ilvl w:val="0"/>
          <w:numId w:val="1"/>
        </w:numPr>
        <w:spacing w:after="240"/>
        <w:ind w:left="426" w:hanging="426"/>
      </w:pPr>
      <w:r>
        <w:lastRenderedPageBreak/>
        <w:t xml:space="preserve">Do you support the recommendation that further analysis is undertaken on the option of tiered member contributions?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8312"/>
      </w:tblGrid>
      <w:tr w:rsidR="00487B5D" w:rsidTr="00487B5D">
        <w:trPr>
          <w:trHeight w:val="13051"/>
        </w:trPr>
        <w:tc>
          <w:tcPr>
            <w:tcW w:w="8522" w:type="dxa"/>
            <w:shd w:val="clear" w:color="auto" w:fill="F2F2F2" w:themeFill="background1" w:themeFillShade="F2"/>
          </w:tcPr>
          <w:p w:rsidR="00487B5D" w:rsidRDefault="00487B5D" w:rsidP="00455655">
            <w:pPr>
              <w:spacing w:after="240"/>
            </w:pPr>
          </w:p>
        </w:tc>
      </w:tr>
    </w:tbl>
    <w:p w:rsidR="00477D4E" w:rsidRDefault="00477D4E" w:rsidP="00487B5D">
      <w:pPr>
        <w:pStyle w:val="ListParagraph"/>
        <w:numPr>
          <w:ilvl w:val="0"/>
          <w:numId w:val="1"/>
        </w:numPr>
        <w:spacing w:after="240"/>
        <w:ind w:left="426" w:hanging="426"/>
      </w:pPr>
      <w:r>
        <w:lastRenderedPageBreak/>
        <w:t xml:space="preserve">Do you support the recommendation that further analysis is undertaken on flexible options for members, for example lower cost saving options?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8312"/>
      </w:tblGrid>
      <w:tr w:rsidR="00487B5D" w:rsidTr="00487B5D">
        <w:trPr>
          <w:trHeight w:val="13051"/>
        </w:trPr>
        <w:tc>
          <w:tcPr>
            <w:tcW w:w="8522" w:type="dxa"/>
            <w:shd w:val="clear" w:color="auto" w:fill="F2F2F2" w:themeFill="background1" w:themeFillShade="F2"/>
          </w:tcPr>
          <w:p w:rsidR="00487B5D" w:rsidRDefault="00487B5D" w:rsidP="00455655">
            <w:pPr>
              <w:spacing w:after="240"/>
            </w:pPr>
          </w:p>
        </w:tc>
      </w:tr>
    </w:tbl>
    <w:p w:rsidR="00477D4E" w:rsidRDefault="00477D4E" w:rsidP="00487B5D">
      <w:pPr>
        <w:pStyle w:val="ListParagraph"/>
        <w:numPr>
          <w:ilvl w:val="0"/>
          <w:numId w:val="1"/>
        </w:numPr>
        <w:spacing w:after="240"/>
        <w:ind w:left="426" w:hanging="426"/>
      </w:pPr>
      <w:r>
        <w:lastRenderedPageBreak/>
        <w:t>Do you have any additional comments on the needs of USS members or the JEP2 report’s section 9?</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8312"/>
      </w:tblGrid>
      <w:tr w:rsidR="00487B5D" w:rsidTr="00487B5D">
        <w:trPr>
          <w:trHeight w:val="12484"/>
        </w:trPr>
        <w:tc>
          <w:tcPr>
            <w:tcW w:w="8522" w:type="dxa"/>
            <w:shd w:val="clear" w:color="auto" w:fill="F2F2F2" w:themeFill="background1" w:themeFillShade="F2"/>
          </w:tcPr>
          <w:p w:rsidR="00487B5D" w:rsidRDefault="00487B5D" w:rsidP="00455655">
            <w:pPr>
              <w:spacing w:after="240"/>
            </w:pPr>
          </w:p>
        </w:tc>
      </w:tr>
    </w:tbl>
    <w:p w:rsidR="00487B5D" w:rsidRDefault="00487B5D" w:rsidP="00487B5D">
      <w:pPr>
        <w:spacing w:after="240"/>
      </w:pPr>
    </w:p>
    <w:p w:rsidR="00487B5D" w:rsidRDefault="00487B5D">
      <w:r>
        <w:br w:type="page"/>
      </w:r>
    </w:p>
    <w:p w:rsidR="00477D4E" w:rsidRPr="00487B5D" w:rsidRDefault="00487B5D" w:rsidP="00477D4E">
      <w:pPr>
        <w:spacing w:after="240"/>
        <w:rPr>
          <w:color w:val="6A4F90"/>
          <w:sz w:val="28"/>
          <w:szCs w:val="36"/>
        </w:rPr>
      </w:pPr>
      <w:r w:rsidRPr="00487B5D">
        <w:rPr>
          <w:color w:val="6A4F90"/>
          <w:sz w:val="28"/>
          <w:szCs w:val="36"/>
        </w:rPr>
        <w:lastRenderedPageBreak/>
        <w:t>MUTUALITY</w:t>
      </w:r>
    </w:p>
    <w:p w:rsidR="00477D4E" w:rsidRDefault="00477D4E" w:rsidP="00487B5D">
      <w:pPr>
        <w:pStyle w:val="ListParagraph"/>
        <w:numPr>
          <w:ilvl w:val="0"/>
          <w:numId w:val="1"/>
        </w:numPr>
        <w:spacing w:after="240"/>
        <w:ind w:left="426" w:hanging="426"/>
      </w:pPr>
      <w:r>
        <w:t>Do you support the view expressed by the JEP on the issue of mutuality within USS?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8312"/>
      </w:tblGrid>
      <w:tr w:rsidR="00487B5D" w:rsidTr="00455655">
        <w:trPr>
          <w:trHeight w:val="12099"/>
        </w:trPr>
        <w:tc>
          <w:tcPr>
            <w:tcW w:w="8522" w:type="dxa"/>
            <w:shd w:val="clear" w:color="auto" w:fill="F2F2F2" w:themeFill="background1" w:themeFillShade="F2"/>
          </w:tcPr>
          <w:p w:rsidR="00487B5D" w:rsidRDefault="00487B5D" w:rsidP="00455655">
            <w:pPr>
              <w:spacing w:after="240"/>
            </w:pPr>
          </w:p>
        </w:tc>
      </w:tr>
    </w:tbl>
    <w:p w:rsidR="00487B5D" w:rsidRDefault="00487B5D" w:rsidP="00487B5D">
      <w:pPr>
        <w:spacing w:after="240"/>
      </w:pPr>
    </w:p>
    <w:p w:rsidR="00487B5D" w:rsidRDefault="00487B5D">
      <w:r>
        <w:br w:type="page"/>
      </w:r>
    </w:p>
    <w:p w:rsidR="00477D4E" w:rsidRDefault="00477D4E" w:rsidP="00487B5D">
      <w:pPr>
        <w:pStyle w:val="ListParagraph"/>
        <w:numPr>
          <w:ilvl w:val="0"/>
          <w:numId w:val="1"/>
        </w:numPr>
        <w:tabs>
          <w:tab w:val="left" w:pos="426"/>
        </w:tabs>
        <w:spacing w:after="240"/>
        <w:ind w:left="426" w:hanging="426"/>
      </w:pPr>
      <w:r>
        <w:lastRenderedPageBreak/>
        <w:t>Do you have any additional comments on mutuality within the scheme or the JEP2 report’s section 10?</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8312"/>
      </w:tblGrid>
      <w:tr w:rsidR="00487B5D" w:rsidTr="00455655">
        <w:trPr>
          <w:trHeight w:val="12099"/>
        </w:trPr>
        <w:tc>
          <w:tcPr>
            <w:tcW w:w="8522" w:type="dxa"/>
            <w:shd w:val="clear" w:color="auto" w:fill="F2F2F2" w:themeFill="background1" w:themeFillShade="F2"/>
          </w:tcPr>
          <w:p w:rsidR="00487B5D" w:rsidRDefault="00487B5D" w:rsidP="00455655">
            <w:pPr>
              <w:spacing w:after="240"/>
            </w:pPr>
          </w:p>
        </w:tc>
      </w:tr>
    </w:tbl>
    <w:p w:rsidR="00487B5D" w:rsidRDefault="00487B5D" w:rsidP="00487B5D">
      <w:pPr>
        <w:tabs>
          <w:tab w:val="left" w:pos="426"/>
        </w:tabs>
        <w:spacing w:after="240"/>
      </w:pPr>
    </w:p>
    <w:p w:rsidR="00487B5D" w:rsidRDefault="00487B5D">
      <w:r>
        <w:br w:type="page"/>
      </w:r>
    </w:p>
    <w:p w:rsidR="00477D4E" w:rsidRPr="00487B5D" w:rsidRDefault="00487B5D" w:rsidP="00477D4E">
      <w:pPr>
        <w:spacing w:after="240"/>
        <w:rPr>
          <w:color w:val="6A4F90"/>
        </w:rPr>
      </w:pPr>
      <w:r w:rsidRPr="00487B5D">
        <w:rPr>
          <w:color w:val="6A4F90"/>
        </w:rPr>
        <w:lastRenderedPageBreak/>
        <w:t>ANY OTHER COMMENTS?</w:t>
      </w:r>
    </w:p>
    <w:p w:rsidR="007119C7" w:rsidRDefault="00477D4E" w:rsidP="00487B5D">
      <w:pPr>
        <w:pStyle w:val="ListParagraph"/>
        <w:numPr>
          <w:ilvl w:val="0"/>
          <w:numId w:val="1"/>
        </w:numPr>
        <w:spacing w:after="240"/>
        <w:ind w:left="426" w:hanging="426"/>
      </w:pPr>
      <w:r>
        <w:t>Are there any other issues that you would like to see considered to inform the approach to the 2020 and future valuations?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8312"/>
      </w:tblGrid>
      <w:tr w:rsidR="00487B5D" w:rsidTr="00455655">
        <w:trPr>
          <w:trHeight w:val="12099"/>
        </w:trPr>
        <w:tc>
          <w:tcPr>
            <w:tcW w:w="8522" w:type="dxa"/>
            <w:shd w:val="clear" w:color="auto" w:fill="F2F2F2" w:themeFill="background1" w:themeFillShade="F2"/>
          </w:tcPr>
          <w:p w:rsidR="00487B5D" w:rsidRDefault="00487B5D" w:rsidP="00455655">
            <w:pPr>
              <w:spacing w:after="240"/>
            </w:pPr>
          </w:p>
        </w:tc>
      </w:tr>
    </w:tbl>
    <w:p w:rsidR="00487B5D" w:rsidRDefault="00487B5D" w:rsidP="00487B5D">
      <w:pPr>
        <w:spacing w:after="240"/>
      </w:pPr>
    </w:p>
    <w:p w:rsidR="00487B5D" w:rsidRDefault="00487B5D" w:rsidP="00487B5D">
      <w:r>
        <w:br w:type="page"/>
      </w:r>
      <w:r>
        <w:lastRenderedPageBreak/>
        <w:t>Please confirm if your organisation’s governing body has been consulted:</w:t>
      </w:r>
    </w:p>
    <w:p w:rsidR="00487B5D" w:rsidRDefault="00487B5D" w:rsidP="00487B5D"/>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8312"/>
      </w:tblGrid>
      <w:tr w:rsidR="00487B5D" w:rsidTr="00487B5D">
        <w:trPr>
          <w:trHeight w:val="1670"/>
        </w:trPr>
        <w:tc>
          <w:tcPr>
            <w:tcW w:w="8522" w:type="dxa"/>
            <w:shd w:val="clear" w:color="auto" w:fill="F2F2F2" w:themeFill="background1" w:themeFillShade="F2"/>
          </w:tcPr>
          <w:p w:rsidR="00487B5D" w:rsidRDefault="00487B5D" w:rsidP="00487B5D"/>
        </w:tc>
      </w:tr>
    </w:tbl>
    <w:p w:rsidR="00487B5D" w:rsidRDefault="00487B5D" w:rsidP="00487B5D"/>
    <w:p w:rsidR="00487B5D" w:rsidRPr="00487B5D" w:rsidRDefault="00487B5D" w:rsidP="00487B5D">
      <w:pPr>
        <w:rPr>
          <w:color w:val="6A4F90"/>
        </w:rPr>
      </w:pPr>
      <w:r w:rsidRPr="00487B5D">
        <w:rPr>
          <w:color w:val="6A4F90"/>
        </w:rPr>
        <w:t>RESPONSE SUBMITTED BY:</w:t>
      </w:r>
    </w:p>
    <w:p w:rsidR="00487B5D" w:rsidRDefault="00487B5D" w:rsidP="00487B5D"/>
    <w:p w:rsidR="00487B5D" w:rsidRDefault="00487B5D" w:rsidP="00085F81">
      <w:pPr>
        <w:spacing w:after="240"/>
      </w:pPr>
      <w:r>
        <w:t>Name: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8312"/>
      </w:tblGrid>
      <w:tr w:rsidR="00085F81" w:rsidTr="00085F81">
        <w:trPr>
          <w:trHeight w:val="354"/>
        </w:trPr>
        <w:tc>
          <w:tcPr>
            <w:tcW w:w="8522" w:type="dxa"/>
            <w:shd w:val="clear" w:color="auto" w:fill="F2F2F2" w:themeFill="background1" w:themeFillShade="F2"/>
          </w:tcPr>
          <w:p w:rsidR="00085F81" w:rsidRDefault="00085F81" w:rsidP="00455655"/>
        </w:tc>
      </w:tr>
    </w:tbl>
    <w:p w:rsidR="00487B5D" w:rsidRDefault="00487B5D" w:rsidP="00487B5D"/>
    <w:p w:rsidR="00487B5D" w:rsidRDefault="00487B5D" w:rsidP="00085F81">
      <w:pPr>
        <w:spacing w:after="240"/>
      </w:pPr>
      <w:r>
        <w:t>P</w:t>
      </w:r>
      <w:r>
        <w:t>osition: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8312"/>
      </w:tblGrid>
      <w:tr w:rsidR="00085F81" w:rsidTr="00455655">
        <w:trPr>
          <w:trHeight w:val="354"/>
        </w:trPr>
        <w:tc>
          <w:tcPr>
            <w:tcW w:w="8522" w:type="dxa"/>
            <w:shd w:val="clear" w:color="auto" w:fill="F2F2F2" w:themeFill="background1" w:themeFillShade="F2"/>
          </w:tcPr>
          <w:p w:rsidR="00085F81" w:rsidRDefault="00085F81" w:rsidP="00455655"/>
        </w:tc>
      </w:tr>
    </w:tbl>
    <w:p w:rsidR="00085F81" w:rsidRDefault="00085F81" w:rsidP="00487B5D"/>
    <w:p w:rsidR="00487B5D" w:rsidRPr="00085F81" w:rsidRDefault="00085F81" w:rsidP="00085F81">
      <w:pPr>
        <w:spacing w:after="240"/>
        <w:rPr>
          <w:color w:val="6A4F90"/>
        </w:rPr>
      </w:pPr>
      <w:r w:rsidRPr="00085F81">
        <w:rPr>
          <w:color w:val="6A4F90"/>
        </w:rPr>
        <w:t>ON BEHALF OF:</w:t>
      </w:r>
    </w:p>
    <w:p w:rsidR="00487B5D" w:rsidRDefault="00487B5D" w:rsidP="00085F81">
      <w:pPr>
        <w:spacing w:after="240"/>
      </w:pPr>
      <w:r>
        <w:t>Institution: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8312"/>
      </w:tblGrid>
      <w:tr w:rsidR="00085F81" w:rsidTr="00455655">
        <w:trPr>
          <w:trHeight w:val="354"/>
        </w:trPr>
        <w:tc>
          <w:tcPr>
            <w:tcW w:w="8522" w:type="dxa"/>
            <w:shd w:val="clear" w:color="auto" w:fill="F2F2F2" w:themeFill="background1" w:themeFillShade="F2"/>
          </w:tcPr>
          <w:p w:rsidR="00085F81" w:rsidRDefault="00085F81" w:rsidP="00455655"/>
        </w:tc>
      </w:tr>
    </w:tbl>
    <w:p w:rsidR="00085F81" w:rsidRDefault="00085F81" w:rsidP="00085F81">
      <w:pPr>
        <w:spacing w:after="240"/>
      </w:pPr>
    </w:p>
    <w:p w:rsidR="00085F81" w:rsidRDefault="00085F81" w:rsidP="00085F81">
      <w:pPr>
        <w:spacing w:after="240"/>
      </w:pPr>
      <w:r>
        <w:t>Please send your completed form to:</w:t>
      </w:r>
    </w:p>
    <w:p w:rsidR="00085F81" w:rsidRDefault="00085F81" w:rsidP="00085F81">
      <w:pPr>
        <w:spacing w:after="240"/>
      </w:pPr>
      <w:hyperlink r:id="rId9" w:history="1">
        <w:r w:rsidRPr="00085F81">
          <w:rPr>
            <w:rStyle w:val="Hyperlink"/>
            <w:color w:val="6A4F90"/>
          </w:rPr>
          <w:t>pensions@universtiesuk.ac.uk</w:t>
        </w:r>
      </w:hyperlink>
      <w:r>
        <w:t xml:space="preserve"> by </w:t>
      </w:r>
      <w:r w:rsidRPr="00085F81">
        <w:rPr>
          <w:b/>
          <w:bCs/>
        </w:rPr>
        <w:t>28 February 2020</w:t>
      </w:r>
      <w:r w:rsidRPr="00085F81">
        <w:rPr>
          <w:b/>
          <w:bCs/>
        </w:rPr>
        <w:t>.</w:t>
      </w:r>
    </w:p>
    <w:p w:rsidR="00085F81" w:rsidRDefault="00085F81" w:rsidP="00085F81">
      <w:pPr>
        <w:spacing w:after="240"/>
      </w:pPr>
      <w:r>
        <w:t>Thank you for taking the time to respond to this consultation.</w:t>
      </w:r>
      <w:bookmarkStart w:id="0" w:name="_GoBack"/>
      <w:bookmarkEnd w:id="0"/>
    </w:p>
    <w:sectPr w:rsidR="00085F81" w:rsidSect="00085F81">
      <w:headerReference w:type="default" r:id="rId10"/>
      <w:footerReference w:type="default" r:id="rId11"/>
      <w:footerReference w:type="first" r:id="rId12"/>
      <w:pgSz w:w="11906" w:h="16838"/>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5F81" w:rsidRDefault="00085F81" w:rsidP="00085F81">
      <w:r>
        <w:separator/>
      </w:r>
    </w:p>
  </w:endnote>
  <w:endnote w:type="continuationSeparator" w:id="0">
    <w:p w:rsidR="00085F81" w:rsidRDefault="00085F81" w:rsidP="00085F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1002AFF" w:usb1="4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5F81" w:rsidRPr="00085F81" w:rsidRDefault="00085F81" w:rsidP="00085F81">
    <w:pPr>
      <w:pStyle w:val="Footer"/>
      <w:tabs>
        <w:tab w:val="clear" w:pos="9026"/>
        <w:tab w:val="right" w:pos="8222"/>
      </w:tabs>
    </w:pPr>
    <w:r>
      <w:rPr>
        <w:noProof/>
      </w:rPr>
      <w:drawing>
        <wp:inline distT="0" distB="0" distL="0" distR="0">
          <wp:extent cx="1083486" cy="209845"/>
          <wp:effectExtent l="0" t="0" r="0" b="0"/>
          <wp:docPr id="3" name="Picture 3"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ss-employers-logo.png"/>
                  <pic:cNvPicPr/>
                </pic:nvPicPr>
                <pic:blipFill>
                  <a:blip r:embed="rId1">
                    <a:extLst>
                      <a:ext uri="{28A0092B-C50C-407E-A947-70E740481C1C}">
                        <a14:useLocalDpi xmlns:a14="http://schemas.microsoft.com/office/drawing/2010/main" val="0"/>
                      </a:ext>
                    </a:extLst>
                  </a:blip>
                  <a:stretch>
                    <a:fillRect/>
                  </a:stretch>
                </pic:blipFill>
                <pic:spPr>
                  <a:xfrm>
                    <a:off x="0" y="0"/>
                    <a:ext cx="1288917" cy="249632"/>
                  </a:xfrm>
                  <a:prstGeom prst="rect">
                    <a:avLst/>
                  </a:prstGeom>
                </pic:spPr>
              </pic:pic>
            </a:graphicData>
          </a:graphic>
        </wp:inline>
      </w:drawing>
    </w:r>
    <w:r>
      <w:tab/>
    </w:r>
    <w:r>
      <w:tab/>
    </w:r>
    <w:r w:rsidRPr="00085F81">
      <w:rPr>
        <w:color w:val="6A4F90"/>
      </w:rPr>
      <w:t>www.ussemployers.org.uk</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5F81" w:rsidRPr="00085F81" w:rsidRDefault="00085F81" w:rsidP="00085F81">
    <w:pPr>
      <w:pStyle w:val="Footer"/>
      <w:tabs>
        <w:tab w:val="clear" w:pos="9026"/>
        <w:tab w:val="right" w:pos="8222"/>
      </w:tabs>
    </w:pPr>
    <w:r>
      <w:rPr>
        <w:noProof/>
      </w:rPr>
      <w:drawing>
        <wp:inline distT="0" distB="0" distL="0" distR="0" wp14:anchorId="6B73592D" wp14:editId="4330F9ED">
          <wp:extent cx="1083486" cy="209845"/>
          <wp:effectExtent l="0" t="0" r="0" b="0"/>
          <wp:docPr id="4" name="Picture 4"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ss-employers-logo.png"/>
                  <pic:cNvPicPr/>
                </pic:nvPicPr>
                <pic:blipFill>
                  <a:blip r:embed="rId1">
                    <a:extLst>
                      <a:ext uri="{28A0092B-C50C-407E-A947-70E740481C1C}">
                        <a14:useLocalDpi xmlns:a14="http://schemas.microsoft.com/office/drawing/2010/main" val="0"/>
                      </a:ext>
                    </a:extLst>
                  </a:blip>
                  <a:stretch>
                    <a:fillRect/>
                  </a:stretch>
                </pic:blipFill>
                <pic:spPr>
                  <a:xfrm>
                    <a:off x="0" y="0"/>
                    <a:ext cx="1288917" cy="249632"/>
                  </a:xfrm>
                  <a:prstGeom prst="rect">
                    <a:avLst/>
                  </a:prstGeom>
                </pic:spPr>
              </pic:pic>
            </a:graphicData>
          </a:graphic>
        </wp:inline>
      </w:drawing>
    </w:r>
    <w:r>
      <w:tab/>
    </w:r>
    <w:r>
      <w:tab/>
    </w:r>
    <w:r w:rsidRPr="00085F81">
      <w:rPr>
        <w:color w:val="6A4F90"/>
      </w:rPr>
      <w:t>www.ussemployers.org.uk</w:t>
    </w:r>
  </w:p>
  <w:p w:rsidR="00085F81" w:rsidRDefault="00085F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5F81" w:rsidRDefault="00085F81" w:rsidP="00085F81">
      <w:r>
        <w:separator/>
      </w:r>
    </w:p>
  </w:footnote>
  <w:footnote w:type="continuationSeparator" w:id="0">
    <w:p w:rsidR="00085F81" w:rsidRDefault="00085F81" w:rsidP="00085F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843794"/>
      <w:docPartObj>
        <w:docPartGallery w:val="Page Numbers (Top of Page)"/>
        <w:docPartUnique/>
      </w:docPartObj>
    </w:sdtPr>
    <w:sdtEndPr>
      <w:rPr>
        <w:noProof/>
      </w:rPr>
    </w:sdtEndPr>
    <w:sdtContent>
      <w:p w:rsidR="00085F81" w:rsidRDefault="00085F81" w:rsidP="00085F81">
        <w:pPr>
          <w:pStyle w:val="Header"/>
          <w:jc w:val="center"/>
        </w:pPr>
        <w:r w:rsidRPr="00085F81">
          <w:rPr>
            <w:color w:val="6A4F90"/>
          </w:rPr>
          <w:fldChar w:fldCharType="begin"/>
        </w:r>
        <w:r w:rsidRPr="00085F81">
          <w:rPr>
            <w:color w:val="6A4F90"/>
          </w:rPr>
          <w:instrText xml:space="preserve"> PAGE   \* MERGEFORMAT </w:instrText>
        </w:r>
        <w:r w:rsidRPr="00085F81">
          <w:rPr>
            <w:color w:val="6A4F90"/>
          </w:rPr>
          <w:fldChar w:fldCharType="separate"/>
        </w:r>
        <w:r w:rsidRPr="00085F81">
          <w:rPr>
            <w:noProof/>
            <w:color w:val="6A4F90"/>
          </w:rPr>
          <w:t>2</w:t>
        </w:r>
        <w:r w:rsidRPr="00085F81">
          <w:rPr>
            <w:noProof/>
            <w:color w:val="6A4F90"/>
          </w:rPr>
          <w:fldChar w:fldCharType="end"/>
        </w:r>
        <w:r>
          <w:rPr>
            <w:noProof/>
          </w:rPr>
          <w:t xml:space="preserve"> | Resonses to the Joint Expert Panel’s report | </w:t>
        </w:r>
        <w:r w:rsidRPr="00085F81">
          <w:rPr>
            <w:noProof/>
            <w:color w:val="6A4F90"/>
          </w:rPr>
          <w:t>January 2020</w:t>
        </w:r>
      </w:p>
    </w:sdtContent>
  </w:sdt>
  <w:p w:rsidR="00085F81" w:rsidRDefault="00085F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F7E230A"/>
    <w:multiLevelType w:val="hybridMultilevel"/>
    <w:tmpl w:val="BF1ADE60"/>
    <w:lvl w:ilvl="0" w:tplc="8A823898">
      <w:start w:val="1"/>
      <w:numFmt w:val="decimal"/>
      <w:lvlText w:val="%1."/>
      <w:lvlJc w:val="left"/>
      <w:pPr>
        <w:ind w:left="720" w:hanging="360"/>
      </w:pPr>
      <w:rPr>
        <w:rFonts w:hint="default"/>
        <w:b/>
        <w:bCs/>
        <w:color w:val="6A4F9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74F174C"/>
    <w:multiLevelType w:val="hybridMultilevel"/>
    <w:tmpl w:val="EE9C8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D4E"/>
    <w:rsid w:val="00001860"/>
    <w:rsid w:val="00002F31"/>
    <w:rsid w:val="000074CD"/>
    <w:rsid w:val="00024772"/>
    <w:rsid w:val="000254F9"/>
    <w:rsid w:val="00041267"/>
    <w:rsid w:val="000456EA"/>
    <w:rsid w:val="00053CB0"/>
    <w:rsid w:val="00074FB5"/>
    <w:rsid w:val="00085F81"/>
    <w:rsid w:val="00096C35"/>
    <w:rsid w:val="000B2871"/>
    <w:rsid w:val="000B3351"/>
    <w:rsid w:val="000E2256"/>
    <w:rsid w:val="000F2FE8"/>
    <w:rsid w:val="000F6413"/>
    <w:rsid w:val="00110E63"/>
    <w:rsid w:val="00150EE4"/>
    <w:rsid w:val="001539D3"/>
    <w:rsid w:val="00154028"/>
    <w:rsid w:val="001A5AD1"/>
    <w:rsid w:val="001A6E88"/>
    <w:rsid w:val="001B0723"/>
    <w:rsid w:val="001C5204"/>
    <w:rsid w:val="001C7912"/>
    <w:rsid w:val="001D70BB"/>
    <w:rsid w:val="001E4DAE"/>
    <w:rsid w:val="001F250D"/>
    <w:rsid w:val="0020732D"/>
    <w:rsid w:val="00214D37"/>
    <w:rsid w:val="00220554"/>
    <w:rsid w:val="00220934"/>
    <w:rsid w:val="0023715B"/>
    <w:rsid w:val="00251E06"/>
    <w:rsid w:val="0025571D"/>
    <w:rsid w:val="00257DC8"/>
    <w:rsid w:val="00260F6D"/>
    <w:rsid w:val="00267817"/>
    <w:rsid w:val="002816EB"/>
    <w:rsid w:val="00285F9B"/>
    <w:rsid w:val="0029581E"/>
    <w:rsid w:val="002B14D3"/>
    <w:rsid w:val="002B2CE5"/>
    <w:rsid w:val="002B414F"/>
    <w:rsid w:val="002C32D8"/>
    <w:rsid w:val="002E295F"/>
    <w:rsid w:val="002E36CD"/>
    <w:rsid w:val="002E651E"/>
    <w:rsid w:val="002F45D7"/>
    <w:rsid w:val="00316540"/>
    <w:rsid w:val="003173EC"/>
    <w:rsid w:val="00317DC6"/>
    <w:rsid w:val="00323287"/>
    <w:rsid w:val="0033349B"/>
    <w:rsid w:val="00356FB0"/>
    <w:rsid w:val="003608A4"/>
    <w:rsid w:val="00362E04"/>
    <w:rsid w:val="0037772B"/>
    <w:rsid w:val="003819D6"/>
    <w:rsid w:val="00385F49"/>
    <w:rsid w:val="003A073F"/>
    <w:rsid w:val="003B41FB"/>
    <w:rsid w:val="003C389D"/>
    <w:rsid w:val="003E1766"/>
    <w:rsid w:val="003E3742"/>
    <w:rsid w:val="003E7338"/>
    <w:rsid w:val="003F2429"/>
    <w:rsid w:val="003F775E"/>
    <w:rsid w:val="00416872"/>
    <w:rsid w:val="0042319F"/>
    <w:rsid w:val="00423E36"/>
    <w:rsid w:val="00432C9D"/>
    <w:rsid w:val="004440E0"/>
    <w:rsid w:val="00477D4E"/>
    <w:rsid w:val="00487B5D"/>
    <w:rsid w:val="004D3857"/>
    <w:rsid w:val="004E3C7D"/>
    <w:rsid w:val="004E6E99"/>
    <w:rsid w:val="004F27C0"/>
    <w:rsid w:val="005020D5"/>
    <w:rsid w:val="005035B5"/>
    <w:rsid w:val="00536314"/>
    <w:rsid w:val="00545DEA"/>
    <w:rsid w:val="00554B29"/>
    <w:rsid w:val="00557A27"/>
    <w:rsid w:val="00561B42"/>
    <w:rsid w:val="00565BD2"/>
    <w:rsid w:val="00570769"/>
    <w:rsid w:val="0057453F"/>
    <w:rsid w:val="00596189"/>
    <w:rsid w:val="005A2A4D"/>
    <w:rsid w:val="005C486E"/>
    <w:rsid w:val="005D6853"/>
    <w:rsid w:val="005D7CD4"/>
    <w:rsid w:val="005F1FD4"/>
    <w:rsid w:val="005F232C"/>
    <w:rsid w:val="00610B7F"/>
    <w:rsid w:val="006151F9"/>
    <w:rsid w:val="00646CAA"/>
    <w:rsid w:val="00665EF1"/>
    <w:rsid w:val="006807EE"/>
    <w:rsid w:val="00690FFE"/>
    <w:rsid w:val="006A5705"/>
    <w:rsid w:val="006B1632"/>
    <w:rsid w:val="006B6420"/>
    <w:rsid w:val="006C7D7A"/>
    <w:rsid w:val="006D0EA5"/>
    <w:rsid w:val="006E19A1"/>
    <w:rsid w:val="006E390D"/>
    <w:rsid w:val="006E4547"/>
    <w:rsid w:val="006E68B2"/>
    <w:rsid w:val="006F464B"/>
    <w:rsid w:val="006F66B8"/>
    <w:rsid w:val="007119C7"/>
    <w:rsid w:val="007133D9"/>
    <w:rsid w:val="00721045"/>
    <w:rsid w:val="00722B12"/>
    <w:rsid w:val="0072628E"/>
    <w:rsid w:val="007312E9"/>
    <w:rsid w:val="0074248C"/>
    <w:rsid w:val="00743674"/>
    <w:rsid w:val="00752EB0"/>
    <w:rsid w:val="007567B2"/>
    <w:rsid w:val="00767CE5"/>
    <w:rsid w:val="00772249"/>
    <w:rsid w:val="00781B69"/>
    <w:rsid w:val="00791A0F"/>
    <w:rsid w:val="00792581"/>
    <w:rsid w:val="007972F6"/>
    <w:rsid w:val="00797CEB"/>
    <w:rsid w:val="007A5D0F"/>
    <w:rsid w:val="007B1C0D"/>
    <w:rsid w:val="007C13DB"/>
    <w:rsid w:val="007C4A3F"/>
    <w:rsid w:val="007C5458"/>
    <w:rsid w:val="0080713D"/>
    <w:rsid w:val="00810176"/>
    <w:rsid w:val="0083272E"/>
    <w:rsid w:val="0083278E"/>
    <w:rsid w:val="00836033"/>
    <w:rsid w:val="00845C9F"/>
    <w:rsid w:val="00853D0D"/>
    <w:rsid w:val="00853D84"/>
    <w:rsid w:val="008623CB"/>
    <w:rsid w:val="00864386"/>
    <w:rsid w:val="00871A58"/>
    <w:rsid w:val="008911B5"/>
    <w:rsid w:val="00894C0B"/>
    <w:rsid w:val="00894D54"/>
    <w:rsid w:val="0089520E"/>
    <w:rsid w:val="008A4872"/>
    <w:rsid w:val="008B0CC6"/>
    <w:rsid w:val="008C11DB"/>
    <w:rsid w:val="008C6267"/>
    <w:rsid w:val="008D3FB3"/>
    <w:rsid w:val="008F6DAC"/>
    <w:rsid w:val="00916AAA"/>
    <w:rsid w:val="00927435"/>
    <w:rsid w:val="00931F7A"/>
    <w:rsid w:val="00933FEA"/>
    <w:rsid w:val="0094207F"/>
    <w:rsid w:val="00943949"/>
    <w:rsid w:val="009773CF"/>
    <w:rsid w:val="00993E15"/>
    <w:rsid w:val="009B26BD"/>
    <w:rsid w:val="009C11E6"/>
    <w:rsid w:val="009D04C7"/>
    <w:rsid w:val="009D1989"/>
    <w:rsid w:val="009E2A90"/>
    <w:rsid w:val="009E5D5D"/>
    <w:rsid w:val="009F47E2"/>
    <w:rsid w:val="00A10FB6"/>
    <w:rsid w:val="00A13106"/>
    <w:rsid w:val="00A30E90"/>
    <w:rsid w:val="00A34148"/>
    <w:rsid w:val="00A53269"/>
    <w:rsid w:val="00A734A0"/>
    <w:rsid w:val="00A94ECF"/>
    <w:rsid w:val="00AC41CE"/>
    <w:rsid w:val="00AD52DE"/>
    <w:rsid w:val="00AD5495"/>
    <w:rsid w:val="00AE67DB"/>
    <w:rsid w:val="00B13D73"/>
    <w:rsid w:val="00B258DC"/>
    <w:rsid w:val="00B33C27"/>
    <w:rsid w:val="00B4171E"/>
    <w:rsid w:val="00B42D47"/>
    <w:rsid w:val="00B46D50"/>
    <w:rsid w:val="00B472CA"/>
    <w:rsid w:val="00B50271"/>
    <w:rsid w:val="00B61EA4"/>
    <w:rsid w:val="00B7157C"/>
    <w:rsid w:val="00B82F56"/>
    <w:rsid w:val="00B85182"/>
    <w:rsid w:val="00B93F44"/>
    <w:rsid w:val="00B97900"/>
    <w:rsid w:val="00BC597B"/>
    <w:rsid w:val="00BD37AC"/>
    <w:rsid w:val="00BD39B2"/>
    <w:rsid w:val="00BF4497"/>
    <w:rsid w:val="00BF72AC"/>
    <w:rsid w:val="00C13A4D"/>
    <w:rsid w:val="00C2032F"/>
    <w:rsid w:val="00C2351F"/>
    <w:rsid w:val="00C23619"/>
    <w:rsid w:val="00C31560"/>
    <w:rsid w:val="00C33108"/>
    <w:rsid w:val="00C37636"/>
    <w:rsid w:val="00C4529E"/>
    <w:rsid w:val="00C46EC5"/>
    <w:rsid w:val="00C51BB3"/>
    <w:rsid w:val="00C673A8"/>
    <w:rsid w:val="00C720CA"/>
    <w:rsid w:val="00C80C6F"/>
    <w:rsid w:val="00C91227"/>
    <w:rsid w:val="00C9169B"/>
    <w:rsid w:val="00CA0899"/>
    <w:rsid w:val="00CC1D64"/>
    <w:rsid w:val="00CC6A7D"/>
    <w:rsid w:val="00CD1C20"/>
    <w:rsid w:val="00CE6BF5"/>
    <w:rsid w:val="00CF3962"/>
    <w:rsid w:val="00CF59C8"/>
    <w:rsid w:val="00D16059"/>
    <w:rsid w:val="00D264FF"/>
    <w:rsid w:val="00D33BDB"/>
    <w:rsid w:val="00D346EE"/>
    <w:rsid w:val="00D36B96"/>
    <w:rsid w:val="00D575B4"/>
    <w:rsid w:val="00D8510C"/>
    <w:rsid w:val="00DA4A64"/>
    <w:rsid w:val="00DA4E68"/>
    <w:rsid w:val="00DA62AF"/>
    <w:rsid w:val="00DA718B"/>
    <w:rsid w:val="00DC553A"/>
    <w:rsid w:val="00DD0A27"/>
    <w:rsid w:val="00DD1E83"/>
    <w:rsid w:val="00DE5376"/>
    <w:rsid w:val="00DE5D14"/>
    <w:rsid w:val="00DE7EDD"/>
    <w:rsid w:val="00DF1CF6"/>
    <w:rsid w:val="00E06701"/>
    <w:rsid w:val="00E36F02"/>
    <w:rsid w:val="00E453AE"/>
    <w:rsid w:val="00E556E1"/>
    <w:rsid w:val="00E56F7E"/>
    <w:rsid w:val="00E57D97"/>
    <w:rsid w:val="00E8651B"/>
    <w:rsid w:val="00E9052C"/>
    <w:rsid w:val="00E93CF5"/>
    <w:rsid w:val="00EA0F86"/>
    <w:rsid w:val="00EB7C71"/>
    <w:rsid w:val="00EC0F04"/>
    <w:rsid w:val="00EC292F"/>
    <w:rsid w:val="00ED1FEC"/>
    <w:rsid w:val="00EE0424"/>
    <w:rsid w:val="00EF10F2"/>
    <w:rsid w:val="00EF7D44"/>
    <w:rsid w:val="00F115EF"/>
    <w:rsid w:val="00F16198"/>
    <w:rsid w:val="00F2502E"/>
    <w:rsid w:val="00F42F4B"/>
    <w:rsid w:val="00F45E51"/>
    <w:rsid w:val="00F52810"/>
    <w:rsid w:val="00F56A4D"/>
    <w:rsid w:val="00F6012D"/>
    <w:rsid w:val="00F65910"/>
    <w:rsid w:val="00F700F0"/>
    <w:rsid w:val="00F73A0C"/>
    <w:rsid w:val="00F953B3"/>
    <w:rsid w:val="00FB724F"/>
    <w:rsid w:val="00FD00FD"/>
    <w:rsid w:val="00FD1F45"/>
    <w:rsid w:val="00FE37CF"/>
    <w:rsid w:val="00FF30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15C2FB1"/>
  <w15:chartTrackingRefBased/>
  <w15:docId w15:val="{38FEC6AF-F603-41AA-AC3F-67E68EDC3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477D4E"/>
    <w:rPr>
      <w:rFonts w:ascii="Arial" w:hAnsi="Arial"/>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6BF5"/>
    <w:pPr>
      <w:ind w:left="720"/>
      <w:contextualSpacing/>
    </w:pPr>
  </w:style>
  <w:style w:type="table" w:styleId="TableGrid">
    <w:name w:val="Table Grid"/>
    <w:basedOn w:val="TableNormal"/>
    <w:rsid w:val="00487B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085F81"/>
    <w:rPr>
      <w:color w:val="0000FF" w:themeColor="hyperlink"/>
      <w:u w:val="single"/>
    </w:rPr>
  </w:style>
  <w:style w:type="character" w:styleId="UnresolvedMention">
    <w:name w:val="Unresolved Mention"/>
    <w:basedOn w:val="DefaultParagraphFont"/>
    <w:uiPriority w:val="99"/>
    <w:semiHidden/>
    <w:unhideWhenUsed/>
    <w:rsid w:val="00085F81"/>
    <w:rPr>
      <w:color w:val="605E5C"/>
      <w:shd w:val="clear" w:color="auto" w:fill="E1DFDD"/>
    </w:rPr>
  </w:style>
  <w:style w:type="paragraph" w:styleId="Header">
    <w:name w:val="header"/>
    <w:basedOn w:val="Normal"/>
    <w:link w:val="HeaderChar"/>
    <w:uiPriority w:val="99"/>
    <w:unhideWhenUsed/>
    <w:rsid w:val="00085F81"/>
    <w:pPr>
      <w:tabs>
        <w:tab w:val="center" w:pos="4513"/>
        <w:tab w:val="right" w:pos="9026"/>
      </w:tabs>
    </w:pPr>
  </w:style>
  <w:style w:type="character" w:customStyle="1" w:styleId="HeaderChar">
    <w:name w:val="Header Char"/>
    <w:basedOn w:val="DefaultParagraphFont"/>
    <w:link w:val="Header"/>
    <w:uiPriority w:val="99"/>
    <w:rsid w:val="00085F81"/>
    <w:rPr>
      <w:rFonts w:ascii="Arial" w:hAnsi="Arial"/>
      <w:szCs w:val="24"/>
    </w:rPr>
  </w:style>
  <w:style w:type="paragraph" w:styleId="Footer">
    <w:name w:val="footer"/>
    <w:basedOn w:val="Normal"/>
    <w:link w:val="FooterChar"/>
    <w:unhideWhenUsed/>
    <w:rsid w:val="00085F81"/>
    <w:pPr>
      <w:tabs>
        <w:tab w:val="center" w:pos="4513"/>
        <w:tab w:val="right" w:pos="9026"/>
      </w:tabs>
    </w:pPr>
  </w:style>
  <w:style w:type="character" w:customStyle="1" w:styleId="FooterChar">
    <w:name w:val="Footer Char"/>
    <w:basedOn w:val="DefaultParagraphFont"/>
    <w:link w:val="Footer"/>
    <w:rsid w:val="00085F81"/>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nsions@universitiesuk.ac.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pensions@universtiesuk.ac.uk"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19</Pages>
  <Words>600</Words>
  <Characters>3425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Beden</dc:creator>
  <cp:keywords/>
  <dc:description/>
  <cp:lastModifiedBy>Rita Beden</cp:lastModifiedBy>
  <cp:revision>1</cp:revision>
  <dcterms:created xsi:type="dcterms:W3CDTF">2020-02-03T09:27:00Z</dcterms:created>
  <dcterms:modified xsi:type="dcterms:W3CDTF">2020-02-03T09:56:00Z</dcterms:modified>
</cp:coreProperties>
</file>